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7"/>
              <w:framePr w:wrap="notBeside" w:vAnchor="page" w:hAnchor="page" w:x="1372" w:y="568"/>
              <w:tabs>
                <w:tab w:val="clear" w:pos="4153"/>
                <w:tab w:val="clear" w:pos="8306"/>
              </w:tabs>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7"/>
              <w:framePr w:wrap="notBeside" w:vAnchor="page" w:hAnchor="page" w:x="1372" w:y="568"/>
              <w:tabs>
                <w:tab w:val="clear" w:pos="4153"/>
                <w:tab w:val="clear" w:pos="8306"/>
              </w:tabs>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w:t>
            </w:r>
            <w:r>
              <w:rPr>
                <w:rFonts w:hint="eastAsia" w:ascii="黑体" w:hAnsi="黑体" w:eastAsia="黑体"/>
                <w:sz w:val="21"/>
                <w:szCs w:val="21"/>
                <w:lang w:val="en-US"/>
              </w:rPr>
              <w:t>2</w:t>
            </w:r>
            <w:r>
              <w:rPr>
                <w:rFonts w:ascii="黑体" w:hAnsi="黑体" w:eastAsia="黑体"/>
                <w:sz w:val="21"/>
                <w:szCs w:val="21"/>
              </w:rPr>
              <w:t>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7"/>
              <w:framePr w:wrap="notBeside" w:vAnchor="page" w:hAnchor="page" w:x="1372" w:y="568"/>
              <w:tabs>
                <w:tab w:val="clear" w:pos="4153"/>
                <w:tab w:val="clear" w:pos="8306"/>
              </w:tabs>
              <w:spacing w:before="40"/>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10"/>
              <w:tblpPr w:leftFromText="180" w:rightFromText="180" w:vertAnchor="text" w:horzAnchor="page" w:tblpX="3099" w:tblpY="142"/>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35"/>
                    <w:framePr w:wrap="notBeside" w:vAnchor="page" w:hAnchor="page" w:x="1372" w:y="568"/>
                    <w:rPr>
                      <w:rFonts w:ascii="宋体" w:hAnsi="宋体"/>
                      <w:sz w:val="28"/>
                      <w:szCs w:val="28"/>
                    </w:rPr>
                  </w:pPr>
                  <w:bookmarkStart w:id="1" w:name="CSDN"/>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2" w:name="c1"/>
                  <w:r>
                    <w:instrText xml:space="preserve"> FORMTEXT </w:instrText>
                  </w:r>
                  <w:r>
                    <w:fldChar w:fldCharType="separate"/>
                  </w:r>
                  <w:r>
                    <w:t>32</w:t>
                  </w:r>
                  <w:r>
                    <w:fldChar w:fldCharType="end"/>
                  </w:r>
                  <w:bookmarkEnd w:id="2"/>
                </w:p>
              </w:tc>
            </w:tr>
          </w:tbl>
          <w:p>
            <w:pPr>
              <w:pStyle w:val="7"/>
              <w:framePr w:wrap="notBeside" w:vAnchor="page" w:hAnchor="page" w:x="1372" w:y="568"/>
              <w:tabs>
                <w:tab w:val="clear" w:pos="4153"/>
                <w:tab w:val="clear" w:pos="8306"/>
              </w:tabs>
              <w:spacing w:before="40"/>
              <w:jc w:val="left"/>
              <w:rPr>
                <w:rFonts w:ascii="黑体" w:hAnsi="黑体" w:eastAsia="黑体"/>
                <w:sz w:val="21"/>
                <w:szCs w:val="21"/>
                <w:lang w:val="en-US"/>
              </w:rPr>
            </w:pPr>
            <w:r>
              <w:rPr>
                <w:rFonts w:hint="eastAsia" w:ascii="黑体" w:hAnsi="黑体" w:eastAsia="黑体" w:cs="Times New Roman"/>
                <w:kern w:val="2"/>
                <w:sz w:val="21"/>
                <w:szCs w:val="21"/>
                <w:lang w:val="en-US" w:bidi="ar-SA"/>
              </w:rPr>
              <w:fldChar w:fldCharType="begin">
                <w:ffData>
                  <w:name w:val="CSDN"/>
                  <w:enabled/>
                  <w:calcOnExit w:val="0"/>
                  <w:textInput>
                    <w:default w:val="B 31"/>
                  </w:textInput>
                </w:ffData>
              </w:fldChar>
            </w:r>
            <w:r>
              <w:rPr>
                <w:rFonts w:hint="eastAsia" w:ascii="黑体" w:hAnsi="黑体" w:eastAsia="黑体" w:cs="Times New Roman"/>
                <w:kern w:val="2"/>
                <w:sz w:val="21"/>
                <w:szCs w:val="21"/>
                <w:lang w:val="en-US" w:bidi="ar-SA"/>
              </w:rPr>
              <w:instrText xml:space="preserve">FORMTEXT</w:instrText>
            </w:r>
            <w:r>
              <w:rPr>
                <w:rFonts w:hint="eastAsia" w:ascii="黑体" w:hAnsi="黑体" w:eastAsia="黑体" w:cs="Times New Roman"/>
                <w:kern w:val="2"/>
                <w:sz w:val="21"/>
                <w:szCs w:val="21"/>
                <w:lang w:val="en-US" w:bidi="ar-SA"/>
              </w:rPr>
              <w:fldChar w:fldCharType="separate"/>
            </w:r>
            <w:r>
              <w:rPr>
                <w:rFonts w:hint="eastAsia" w:ascii="黑体" w:hAnsi="黑体" w:eastAsia="黑体" w:cs="Times New Roman"/>
                <w:kern w:val="2"/>
                <w:sz w:val="21"/>
                <w:szCs w:val="21"/>
                <w:lang w:val="en-US" w:bidi="ar-SA"/>
              </w:rPr>
              <w:t>B 31</w:t>
            </w:r>
            <w:r>
              <w:rPr>
                <w:rFonts w:hint="eastAsia" w:ascii="黑体" w:hAnsi="黑体" w:eastAsia="黑体" w:cs="Times New Roman"/>
                <w:kern w:val="2"/>
                <w:sz w:val="21"/>
                <w:szCs w:val="21"/>
                <w:lang w:val="en-US" w:bidi="ar-SA"/>
              </w:rPr>
              <w:fldChar w:fldCharType="end"/>
            </w:r>
            <w:bookmarkEnd w:id="1"/>
          </w:p>
        </w:tc>
      </w:tr>
    </w:tbl>
    <w:p>
      <w:pPr>
        <w:pStyle w:val="24"/>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3"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3"/>
      <w:r>
        <w:rPr>
          <w:rFonts w:hint="eastAsia" w:ascii="黑体" w:hAnsi="黑体" w:eastAsia="黑体"/>
          <w:b w:val="0"/>
          <w:bCs w:val="0"/>
          <w:w w:val="100"/>
          <w:sz w:val="48"/>
          <w:szCs w:val="48"/>
        </w:rPr>
        <w:t>地方标准</w:t>
      </w:r>
    </w:p>
    <w:p>
      <w:pPr>
        <w:pStyle w:val="3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4" w:name="文字1"/>
      <w:r>
        <w:rPr>
          <w:lang w:val="fr-FR"/>
        </w:rPr>
        <w:instrText xml:space="preserve"> FORMTEXT </w:instrText>
      </w:r>
      <w:r>
        <w:fldChar w:fldCharType="separate"/>
      </w:r>
      <w:r>
        <w:t>32</w:t>
      </w:r>
      <w:r>
        <w:rPr>
          <w:lang w:val="fr-FR"/>
        </w:rPr>
        <w:t>/T</w:t>
      </w:r>
      <w:r>
        <w:fldChar w:fldCharType="end"/>
      </w:r>
      <w:bookmarkEnd w:id="4"/>
      <w:r>
        <w:rPr>
          <w:lang w:val="fr-FR"/>
        </w:rPr>
        <w:t xml:space="preserve"> </w:t>
      </w:r>
      <w:bookmarkStart w:id="5" w:name="NSTD_CODE_F"/>
      <w:r>
        <w:rPr>
          <w:rFonts w:ascii="黑体" w:hAnsi="Times New Roman" w:eastAsia="黑体" w:cs="Times New Roman"/>
          <w:bCs/>
          <w:sz w:val="28"/>
          <w:szCs w:val="28"/>
          <w:lang w:val="fr-FR" w:eastAsia="zh-CN" w:bidi="ar-SA"/>
        </w:rPr>
        <w:fldChar w:fldCharType="begin">
          <w:ffData>
            <w:name w:val="NSTD_CODE_F"/>
            <w:enabled/>
            <w:calcOnExit w:val="0"/>
            <w:textInput>
              <w:default w:val="393"/>
            </w:textInput>
          </w:ffData>
        </w:fldChar>
      </w:r>
      <w:r>
        <w:rPr>
          <w:rFonts w:ascii="黑体" w:hAnsi="Times New Roman" w:eastAsia="黑体" w:cs="Times New Roman"/>
          <w:bCs/>
          <w:sz w:val="28"/>
          <w:szCs w:val="28"/>
          <w:lang w:val="fr-FR" w:eastAsia="zh-CN" w:bidi="ar-SA"/>
        </w:rPr>
        <w:instrText xml:space="preserve">FORMTEXT</w:instrText>
      </w:r>
      <w:r>
        <w:rPr>
          <w:rFonts w:ascii="黑体" w:hAnsi="Times New Roman" w:eastAsia="黑体" w:cs="Times New Roman"/>
          <w:bCs/>
          <w:sz w:val="28"/>
          <w:szCs w:val="28"/>
          <w:lang w:val="fr-FR" w:eastAsia="zh-CN" w:bidi="ar-SA"/>
        </w:rPr>
        <w:fldChar w:fldCharType="separate"/>
      </w:r>
      <w:r>
        <w:rPr>
          <w:rFonts w:ascii="黑体" w:hAnsi="Times New Roman" w:eastAsia="黑体" w:cs="Times New Roman"/>
          <w:bCs/>
          <w:sz w:val="28"/>
          <w:szCs w:val="28"/>
          <w:lang w:val="fr-FR" w:eastAsia="zh-CN" w:bidi="ar-SA"/>
        </w:rPr>
        <w:t>393</w:t>
      </w:r>
      <w:r>
        <w:rPr>
          <w:rFonts w:ascii="黑体" w:hAnsi="Times New Roman" w:eastAsia="黑体" w:cs="Times New Roman"/>
          <w:bCs/>
          <w:sz w:val="28"/>
          <w:szCs w:val="28"/>
          <w:lang w:val="fr-FR" w:eastAsia="zh-CN" w:bidi="ar-SA"/>
        </w:rPr>
        <w:fldChar w:fldCharType="end"/>
      </w:r>
      <w:bookmarkEnd w:id="5"/>
      <w:r>
        <w:rPr>
          <w:rFonts w:hAnsi="黑体"/>
          <w:lang w:val="fr-FR"/>
        </w:rPr>
        <w:t>—</w:t>
      </w:r>
      <w:bookmarkStart w:id="6" w:name="NSTD_CODE_B"/>
      <w:r>
        <w:rPr>
          <w:lang w:val="fr-FR"/>
        </w:rPr>
        <w:fldChar w:fldCharType="begin">
          <w:ffData>
            <w:name w:val="NSTD_CODE_B"/>
            <w:enabled/>
            <w:calcOnExit w:val="0"/>
            <w:textInput>
              <w:default w:val="20XX"/>
            </w:textInput>
          </w:ffData>
        </w:fldChar>
      </w:r>
      <w:r>
        <w:rPr>
          <w:lang w:val="fr-FR"/>
        </w:rPr>
        <w:instrText xml:space="preserve">FORMTEXT</w:instrText>
      </w:r>
      <w:r>
        <w:rPr>
          <w:lang w:val="fr-FR"/>
        </w:rPr>
        <w:fldChar w:fldCharType="separate"/>
      </w:r>
      <w:r>
        <w:rPr>
          <w:lang w:val="fr-FR"/>
        </w:rPr>
        <w:t>20XX</w:t>
      </w:r>
      <w:r>
        <w:rPr>
          <w:lang w:val="fr-FR"/>
        </w:rPr>
        <w:fldChar w:fldCharType="end"/>
      </w:r>
      <w:bookmarkEnd w:id="6"/>
    </w:p>
    <w:p>
      <w:pPr>
        <w:pStyle w:val="37"/>
        <w:rPr>
          <w:rFonts w:hAnsi="黑体"/>
        </w:rPr>
      </w:pPr>
      <w:bookmarkStart w:id="7" w:name="OSTD_CODE"/>
      <w:r>
        <w:rPr>
          <w:rFonts w:hAnsi="黑体"/>
        </w:rPr>
        <w:fldChar w:fldCharType="begin">
          <w:ffData>
            <w:name w:val="OSTD_CODE"/>
            <w:enabled/>
            <w:calcOnExit w:val="0"/>
            <w:textInput>
              <w:default w:val="代替 DB32/T 392-2009"/>
            </w:textInput>
          </w:ffData>
        </w:fldChar>
      </w:r>
      <w:r>
        <w:rPr>
          <w:rFonts w:hAnsi="黑体"/>
        </w:rPr>
        <w:instrText xml:space="preserve">FORMTEXT</w:instrText>
      </w:r>
      <w:r>
        <w:rPr>
          <w:rFonts w:hAnsi="黑体"/>
        </w:rPr>
        <w:fldChar w:fldCharType="separate"/>
      </w:r>
      <w:r>
        <w:rPr>
          <w:rFonts w:hAnsi="黑体"/>
        </w:rPr>
        <w:t xml:space="preserve">代替 DB32/T </w:t>
      </w:r>
      <w:r>
        <w:rPr>
          <w:rFonts w:hint="eastAsia" w:hAnsi="黑体"/>
          <w:lang w:eastAsia="zh-CN"/>
        </w:rPr>
        <w:t>393</w:t>
      </w:r>
      <w:r>
        <w:rPr>
          <w:rFonts w:hAnsi="黑体"/>
        </w:rPr>
        <w:t>-2009</w:t>
      </w:r>
      <w:r>
        <w:rPr>
          <w:rFonts w:hAnsi="黑体"/>
        </w:rPr>
        <w:fldChar w:fldCharType="end"/>
      </w:r>
      <w:bookmarkEnd w:id="7"/>
    </w:p>
    <w:p>
      <w:pPr>
        <w:rPr>
          <w:rFonts w:ascii="黑体" w:hAnsi="黑体" w:eastAsia="黑体"/>
          <w:sz w:val="10"/>
          <w:szCs w:val="10"/>
        </w:rPr>
      </w:pPr>
      <w:r>
        <w:rPr>
          <w:sz w:val="28"/>
          <w:szCs w:val="28"/>
          <w:lang w:val="en-US" w:bidi="ar-SA"/>
        </w:rPr>
        <mc:AlternateContent>
          <mc:Choice Requires="wps">
            <w:drawing>
              <wp:anchor distT="0" distB="0" distL="114300" distR="114300" simplePos="0" relativeHeight="251663360" behindDoc="0" locked="1" layoutInCell="1" allowOverlap="1">
                <wp:simplePos x="0" y="0"/>
                <wp:positionH relativeFrom="page">
                  <wp:posOffset>899795</wp:posOffset>
                </wp:positionH>
                <wp:positionV relativeFrom="page">
                  <wp:posOffset>9253220</wp:posOffset>
                </wp:positionV>
                <wp:extent cx="6120130" cy="0"/>
                <wp:effectExtent l="0" t="0" r="0" b="0"/>
                <wp:wrapNone/>
                <wp:docPr id="2"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直接连接符 5" o:spid="_x0000_s1026" o:spt="20" style="position:absolute;left:0pt;margin-left:70.85pt;margin-top:728.6pt;height:0pt;width:481.9pt;mso-position-horizontal-relative:page;mso-position-vertical-relative:page;z-index:251663360;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DN6QEs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l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DN&#10;6QEs6AEAALgDAAAOAAAAAAAAAAEAIAAAACYBAABkcnMvZTJvRG9jLnhtbFBLBQYAAAAABgAGAFkB&#10;AACABQAAAAA=&#10;">
                <v:fill on="f" focussize="0,0"/>
                <v:stroke color="#000000" joinstyle="round"/>
                <v:imagedata o:title=""/>
                <o:lock v:ext="edit" aspectratio="f"/>
                <w10:anchorlock/>
              </v:line>
            </w:pict>
          </mc:Fallback>
        </mc:AlternateContent>
      </w:r>
      <w:r>
        <w:rPr>
          <w:rFonts w:ascii="黑体" w:hAnsi="黑体" w:eastAsia="黑体"/>
          <w:sz w:val="10"/>
          <w:szCs w:val="10"/>
          <w:lang w:val="en-US" w:bidi="ar-SA"/>
        </w:rPr>
        <mc:AlternateContent>
          <mc:Choice Requires="wps">
            <w:drawing>
              <wp:anchor distT="0" distB="0" distL="114300" distR="114300" simplePos="0" relativeHeight="251661312"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1312;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pPr>
        <w:pStyle w:val="24"/>
        <w:framePr w:w="9639" w:h="6976" w:hRule="exact" w:hSpace="0" w:vSpace="0" w:wrap="around" w:hAnchor="page" w:y="6408"/>
        <w:jc w:val="center"/>
        <w:rPr>
          <w:rFonts w:ascii="黑体" w:hAnsi="黑体" w:eastAsia="黑体"/>
          <w:b w:val="0"/>
          <w:bCs w:val="0"/>
          <w:w w:val="100"/>
        </w:rPr>
      </w:pPr>
    </w:p>
    <w:p>
      <w:pPr>
        <w:pStyle w:val="25"/>
        <w:framePr w:h="6974" w:hRule="exact" w:wrap="around" w:x="1419" w:anchorLock="1"/>
      </w:pPr>
      <w:bookmarkStart w:id="8" w:name="CSTD_NAME"/>
      <w:r>
        <w:rPr>
          <w:rFonts w:hint="eastAsia" w:ascii="黑体" w:hAnsi="黑体" w:eastAsia="黑体" w:cs="Times New Roman"/>
          <w:bCs/>
          <w:sz w:val="52"/>
          <w:lang w:val="en-US" w:eastAsia="zh-CN" w:bidi="ar-SA"/>
        </w:rPr>
        <w:fldChar w:fldCharType="begin">
          <w:ffData>
            <w:name w:val="CSTD_NAME"/>
            <w:enabled/>
            <w:calcOnExit w:val="0"/>
            <w:textInput>
              <w:default w:val="无锡水蜜桃"/>
            </w:textInput>
          </w:ffData>
        </w:fldChar>
      </w:r>
      <w:r>
        <w:rPr>
          <w:rFonts w:hint="eastAsia" w:ascii="黑体" w:hAnsi="黑体" w:eastAsia="黑体" w:cs="Times New Roman"/>
          <w:bCs/>
          <w:sz w:val="52"/>
          <w:lang w:val="en-US" w:eastAsia="zh-CN" w:bidi="ar-SA"/>
        </w:rPr>
        <w:instrText xml:space="preserve">FORMTEXT</w:instrText>
      </w:r>
      <w:r>
        <w:rPr>
          <w:rFonts w:hint="eastAsia" w:ascii="黑体" w:hAnsi="黑体" w:eastAsia="黑体" w:cs="Times New Roman"/>
          <w:bCs/>
          <w:sz w:val="52"/>
          <w:lang w:val="en-US" w:eastAsia="zh-CN" w:bidi="ar-SA"/>
        </w:rPr>
        <w:fldChar w:fldCharType="separate"/>
      </w:r>
      <w:r>
        <w:rPr>
          <w:rFonts w:hint="eastAsia" w:ascii="黑体" w:hAnsi="黑体" w:eastAsia="黑体" w:cs="Times New Roman"/>
          <w:bCs/>
          <w:sz w:val="52"/>
          <w:lang w:val="en-US" w:eastAsia="zh-CN" w:bidi="ar-SA"/>
        </w:rPr>
        <w:t>无锡水蜜桃</w:t>
      </w:r>
      <w:r>
        <w:rPr>
          <w:rFonts w:hint="eastAsia" w:ascii="黑体" w:hAnsi="黑体" w:eastAsia="黑体" w:cs="Times New Roman"/>
          <w:bCs/>
          <w:sz w:val="52"/>
          <w:lang w:val="en-US" w:eastAsia="zh-CN" w:bidi="ar-SA"/>
        </w:rPr>
        <w:fldChar w:fldCharType="end"/>
      </w:r>
      <w:bookmarkEnd w:id="8"/>
    </w:p>
    <w:p>
      <w:pPr>
        <w:framePr w:w="9639" w:h="6974" w:hRule="exact" w:wrap="around" w:vAnchor="page" w:hAnchor="page" w:x="1419" w:y="6408" w:anchorLock="1"/>
        <w:ind w:left="-1418"/>
      </w:pPr>
    </w:p>
    <w:p>
      <w:pPr>
        <w:pStyle w:val="27"/>
        <w:framePr w:w="9639" w:h="6974" w:hRule="exact" w:wrap="around" w:vAnchor="page" w:hAnchor="page" w:x="1419" w:y="6408" w:anchorLock="1"/>
        <w:textAlignment w:val="bottom"/>
        <w:rPr>
          <w:rFonts w:eastAsia="黑体"/>
          <w:szCs w:val="28"/>
        </w:rPr>
      </w:pPr>
      <w:bookmarkStart w:id="9" w:name="ESTD_NAME"/>
      <w:r>
        <w:rPr>
          <w:rFonts w:eastAsia="黑体"/>
        </w:rPr>
        <w:t xml:space="preserve"> WuXi</w:t>
      </w:r>
      <w:r>
        <w:rPr>
          <w:rFonts w:hint="eastAsia" w:eastAsia="黑体"/>
          <w:lang w:val="en-US" w:eastAsia="zh-CN"/>
        </w:rPr>
        <w:t xml:space="preserve">  </w:t>
      </w:r>
      <w:r>
        <w:rPr>
          <w:rFonts w:eastAsia="黑体"/>
        </w:rPr>
        <w:t xml:space="preserve"> peach</w:t>
      </w:r>
      <w:bookmarkEnd w:id="9"/>
    </w:p>
    <w:p>
      <w:pPr>
        <w:framePr w:w="9639" w:h="6974" w:hRule="exact" w:wrap="around" w:vAnchor="page" w:hAnchor="page" w:x="1419" w:y="6408" w:anchorLock="1"/>
        <w:spacing w:line="760" w:lineRule="exact"/>
        <w:ind w:left="-1418"/>
        <w:rPr>
          <w:lang w:val="en-US"/>
        </w:rPr>
      </w:pPr>
    </w:p>
    <w:p>
      <w:pPr>
        <w:pStyle w:val="27"/>
        <w:framePr w:w="9639" w:h="6974" w:hRule="exact" w:wrap="around" w:vAnchor="page" w:hAnchor="page" w:x="1419" w:y="6408" w:anchorLock="1"/>
        <w:textAlignment w:val="bottom"/>
        <w:rPr>
          <w:rFonts w:eastAsia="黑体"/>
          <w:szCs w:val="28"/>
        </w:rPr>
      </w:pPr>
    </w:p>
    <w:p>
      <w:pPr>
        <w:pStyle w:val="27"/>
        <w:framePr w:w="9639" w:h="6974" w:hRule="exact" w:wrap="around" w:vAnchor="page" w:hAnchor="page" w:x="1419" w:y="6408" w:anchorLock="1"/>
        <w:spacing w:before="440" w:after="160"/>
        <w:textAlignment w:val="bottom"/>
        <w:rPr>
          <w:sz w:val="24"/>
          <w:szCs w:val="28"/>
        </w:rPr>
      </w:pPr>
      <w:bookmarkStart w:id="10" w:name="下拉1"/>
      <w:r>
        <w:rPr>
          <w:rFonts w:hint="eastAsia" w:cs="Times New Roman"/>
          <w:sz w:val="24"/>
          <w:szCs w:val="28"/>
          <w:lang w:val="en-US" w:eastAsia="zh-CN" w:bidi="ar-SA"/>
        </w:rPr>
        <w:t>（征求意见稿）</w:t>
      </w:r>
      <w:r>
        <w:rPr>
          <w:rFonts w:ascii="Times New Roman" w:hAnsi="Times New Roman" w:eastAsia="宋体" w:cs="Times New Roman"/>
          <w:sz w:val="24"/>
          <w:szCs w:val="28"/>
          <w:lang w:val="en-US" w:eastAsia="zh-CN" w:bidi="ar-SA"/>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r>
        <w:rPr>
          <w:rFonts w:ascii="Times New Roman" w:hAnsi="Times New Roman" w:eastAsia="宋体" w:cs="Times New Roman"/>
          <w:sz w:val="24"/>
          <w:szCs w:val="28"/>
          <w:lang w:val="en-US" w:eastAsia="zh-CN" w:bidi="ar-SA"/>
        </w:rPr>
        <w:instrText xml:space="preserve">FORMDROPDOWN</w:instrText>
      </w:r>
      <w:r>
        <w:rPr>
          <w:rFonts w:ascii="Times New Roman" w:hAnsi="Times New Roman" w:eastAsia="宋体" w:cs="Times New Roman"/>
          <w:sz w:val="24"/>
          <w:szCs w:val="28"/>
          <w:lang w:val="en-US" w:eastAsia="zh-CN" w:bidi="ar-SA"/>
        </w:rPr>
        <w:fldChar w:fldCharType="separate"/>
      </w:r>
      <w:r>
        <w:rPr>
          <w:rFonts w:ascii="Times New Roman" w:hAnsi="Times New Roman" w:eastAsia="宋体" w:cs="Times New Roman"/>
          <w:sz w:val="24"/>
          <w:szCs w:val="28"/>
          <w:lang w:val="en-US" w:eastAsia="zh-CN" w:bidi="ar-SA"/>
        </w:rPr>
        <w:fldChar w:fldCharType="end"/>
      </w:r>
      <w:bookmarkEnd w:id="10"/>
    </w:p>
    <w:p>
      <w:pPr>
        <w:pStyle w:val="28"/>
        <w:framePr w:wrap="around" w:y="14176"/>
      </w:pPr>
      <w:bookmarkStart w:id="11" w:name="PLSH_DATE_Y"/>
      <w:r>
        <w:rPr>
          <w:rFonts w:ascii="黑体"/>
        </w:rPr>
        <w:fldChar w:fldCharType="begin">
          <w:ffData>
            <w:name w:val="PLSH_DATE_Y"/>
            <w:enabled/>
            <w:calcOnExit w:val="0"/>
            <w:textInput>
              <w:default w:val="20XX"/>
              <w:maxLength w:val="4"/>
            </w:textInput>
          </w:ffData>
        </w:fldChar>
      </w:r>
      <w:r>
        <w:rPr>
          <w:rFonts w:ascii="黑体"/>
        </w:rPr>
        <w:instrText xml:space="preserve">FORMTEXT</w:instrText>
      </w:r>
      <w:r>
        <w:rPr>
          <w:rFonts w:ascii="黑体"/>
        </w:rPr>
        <w:fldChar w:fldCharType="separate"/>
      </w:r>
      <w:r>
        <w:rPr>
          <w:rFonts w:ascii="黑体"/>
        </w:rPr>
        <w:t>20XX</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发布</w:t>
      </w:r>
    </w:p>
    <w:p>
      <w:pPr>
        <w:pStyle w:val="30"/>
        <w:framePr w:wrap="around" w:y="14176"/>
      </w:pPr>
      <w:bookmarkStart w:id="14" w:name="CROT_DATE_Y"/>
      <w:r>
        <w:rPr>
          <w:rFonts w:ascii="黑体"/>
        </w:rPr>
        <w:fldChar w:fldCharType="begin">
          <w:ffData>
            <w:name w:val="CROT_DATE_Y"/>
            <w:enabled/>
            <w:calcOnExit w:val="0"/>
            <w:textInput>
              <w:default w:val="20XX"/>
              <w:maxLength w:val="4"/>
            </w:textInput>
          </w:ffData>
        </w:fldChar>
      </w:r>
      <w:r>
        <w:rPr>
          <w:rFonts w:ascii="黑体"/>
        </w:rPr>
        <w:instrText xml:space="preserve">FORMTEXT</w:instrText>
      </w:r>
      <w:r>
        <w:rPr>
          <w:rFonts w:ascii="黑体"/>
        </w:rPr>
        <w:fldChar w:fldCharType="separate"/>
      </w:r>
      <w:r>
        <w:rPr>
          <w:rFonts w:ascii="黑体"/>
        </w:rPr>
        <w:t>20XX</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实施</w:t>
      </w:r>
    </w:p>
    <w:p>
      <w:pPr>
        <w:pStyle w:val="32"/>
        <w:framePr w:h="584" w:hRule="exact" w:hSpace="181" w:vSpace="181" w:wrap="around" w:y="15027"/>
        <w:rPr>
          <w:sz w:val="28"/>
        </w:rPr>
        <w:sectPr>
          <w:type w:val="continuous"/>
          <w:pgSz w:w="11910" w:h="16840"/>
          <w:pgMar w:top="520" w:right="660" w:bottom="280" w:left="1300" w:header="720" w:footer="720" w:gutter="0"/>
          <w:cols w:space="720" w:num="1"/>
        </w:sect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17"/>
      <w:r>
        <w:rPr>
          <w:rFonts w:ascii="Times New Roman"/>
          <w:w w:val="100"/>
          <w:sz w:val="28"/>
        </w:rPr>
        <w:t>  </w:t>
      </w:r>
      <w:r>
        <w:rPr>
          <w:rStyle w:val="34"/>
          <w:rFonts w:hint="eastAsia" w:hAnsi="黑体"/>
          <w:position w:val="0"/>
        </w:rPr>
        <w:t>发</w:t>
      </w:r>
      <w:r>
        <w:rPr>
          <w:rStyle w:val="34"/>
          <w:rFonts w:hint="eastAsia" w:hAnsi="黑体"/>
          <w:spacing w:val="0"/>
          <w:position w:val="0"/>
        </w:rPr>
        <w:t>布</w:t>
      </w:r>
      <w:r>
        <w:rPr>
          <w:rFonts w:ascii="宋体" w:hAnsi="宋体"/>
          <w:sz w:val="28"/>
          <w:szCs w:val="28"/>
        </w:rPr>
        <mc:AlternateContent>
          <mc:Choice Requires="wps">
            <w:drawing>
              <wp:anchor distT="0" distB="0" distL="114300" distR="114300" simplePos="0" relativeHeight="251662336"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2336;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pPr>
        <w:pStyle w:val="38"/>
        <w:spacing w:after="468"/>
      </w:pPr>
      <w:r>
        <w:rPr>
          <w:spacing w:val="320"/>
        </w:rPr>
        <w:t>目</w:t>
      </w:r>
      <w:r>
        <w:t>次</w:t>
      </w:r>
    </w:p>
    <w:p>
      <w:pPr>
        <w:pStyle w:val="8"/>
        <w:tabs>
          <w:tab w:val="right" w:leader="dot" w:pos="9354"/>
        </w:tabs>
        <w:spacing w:line="400" w:lineRule="exact"/>
        <w:rPr>
          <w:rFonts w:ascii="宋体" w:hAnsi="宋体" w:eastAsia="宋体" w:cs="仿宋"/>
          <w:sz w:val="21"/>
          <w:szCs w:val="21"/>
        </w:rPr>
      </w:pPr>
      <w:r>
        <w:rPr>
          <w:rFonts w:hint="eastAsia" w:ascii="宋体" w:hAnsi="宋体" w:eastAsia="宋体" w:cs="仿宋"/>
          <w:sz w:val="21"/>
          <w:szCs w:val="21"/>
        </w:rPr>
        <w:fldChar w:fldCharType="begin"/>
      </w:r>
      <w:r>
        <w:rPr>
          <w:rFonts w:hint="eastAsia" w:ascii="宋体" w:hAnsi="宋体" w:eastAsia="宋体" w:cs="仿宋"/>
          <w:sz w:val="21"/>
          <w:szCs w:val="21"/>
        </w:rPr>
        <w:instrText xml:space="preserve">TOC \o "1-1" \h \u </w:instrText>
      </w:r>
      <w:r>
        <w:rPr>
          <w:rFonts w:hint="eastAsia" w:ascii="宋体" w:hAnsi="宋体" w:eastAsia="宋体" w:cs="仿宋"/>
          <w:sz w:val="21"/>
          <w:szCs w:val="21"/>
        </w:rPr>
        <w:fldChar w:fldCharType="separate"/>
      </w:r>
      <w:r>
        <w:rPr>
          <w:sz w:val="21"/>
          <w:szCs w:val="21"/>
        </w:rPr>
        <w:fldChar w:fldCharType="begin"/>
      </w:r>
      <w:r>
        <w:rPr>
          <w:sz w:val="21"/>
          <w:szCs w:val="21"/>
        </w:rPr>
        <w:instrText xml:space="preserve"> HYPERLINK \l "_Toc8988" </w:instrText>
      </w:r>
      <w:r>
        <w:rPr>
          <w:sz w:val="21"/>
          <w:szCs w:val="21"/>
        </w:rPr>
        <w:fldChar w:fldCharType="separate"/>
      </w:r>
      <w:r>
        <w:rPr>
          <w:rFonts w:hint="eastAsia" w:ascii="宋体" w:hAnsi="宋体" w:eastAsia="宋体" w:cs="仿宋"/>
          <w:sz w:val="21"/>
          <w:szCs w:val="21"/>
        </w:rPr>
        <w:t>前</w:t>
      </w:r>
      <w:r>
        <w:rPr>
          <w:rFonts w:hint="eastAsia" w:ascii="宋体" w:hAnsi="宋体" w:eastAsia="宋体" w:cs="宋体"/>
          <w:sz w:val="21"/>
          <w:szCs w:val="21"/>
        </w:rPr>
        <w:t>言</w:t>
      </w:r>
      <w:r>
        <w:rPr>
          <w:rFonts w:hint="eastAsia" w:ascii="宋体" w:hAnsi="宋体" w:eastAsia="宋体" w:cs="仿宋"/>
          <w:sz w:val="21"/>
          <w:szCs w:val="21"/>
        </w:rPr>
        <w:tab/>
      </w:r>
      <w:r>
        <w:rPr>
          <w:rFonts w:hint="eastAsia" w:ascii="宋体" w:hAnsi="宋体" w:eastAsia="宋体" w:cs="仿宋"/>
          <w:sz w:val="21"/>
          <w:szCs w:val="21"/>
        </w:rPr>
        <w:fldChar w:fldCharType="begin"/>
      </w:r>
      <w:r>
        <w:rPr>
          <w:rFonts w:hint="eastAsia" w:ascii="宋体" w:hAnsi="宋体" w:eastAsia="宋体" w:cs="仿宋"/>
          <w:sz w:val="21"/>
          <w:szCs w:val="21"/>
        </w:rPr>
        <w:instrText xml:space="preserve"> PAGEREF _Toc8988 \h </w:instrText>
      </w:r>
      <w:r>
        <w:rPr>
          <w:rFonts w:hint="eastAsia" w:ascii="宋体" w:hAnsi="宋体" w:eastAsia="宋体" w:cs="仿宋"/>
          <w:sz w:val="21"/>
          <w:szCs w:val="21"/>
        </w:rPr>
        <w:fldChar w:fldCharType="separate"/>
      </w:r>
      <w:r>
        <w:rPr>
          <w:rFonts w:hint="eastAsia" w:ascii="宋体" w:hAnsi="宋体" w:eastAsia="宋体" w:cs="仿宋"/>
          <w:sz w:val="21"/>
          <w:szCs w:val="21"/>
        </w:rPr>
        <w:t>II</w:t>
      </w:r>
      <w:r>
        <w:rPr>
          <w:rFonts w:hint="eastAsia" w:ascii="宋体" w:hAnsi="宋体" w:eastAsia="宋体" w:cs="仿宋"/>
          <w:sz w:val="21"/>
          <w:szCs w:val="21"/>
        </w:rPr>
        <w:fldChar w:fldCharType="end"/>
      </w:r>
      <w:r>
        <w:rPr>
          <w:rFonts w:ascii="宋体" w:hAnsi="宋体" w:eastAsia="宋体" w:cs="仿宋"/>
          <w:sz w:val="21"/>
          <w:szCs w:val="21"/>
        </w:rPr>
        <w:fldChar w:fldCharType="end"/>
      </w:r>
    </w:p>
    <w:p>
      <w:pPr>
        <w:pStyle w:val="8"/>
        <w:tabs>
          <w:tab w:val="right" w:leader="dot" w:pos="9354"/>
        </w:tabs>
        <w:spacing w:line="400" w:lineRule="exact"/>
        <w:rPr>
          <w:rFonts w:ascii="宋体" w:hAnsi="宋体" w:eastAsia="宋体" w:cs="仿宋"/>
          <w:sz w:val="21"/>
          <w:szCs w:val="21"/>
        </w:rPr>
      </w:pPr>
      <w:r>
        <w:rPr>
          <w:sz w:val="21"/>
          <w:szCs w:val="21"/>
        </w:rPr>
        <w:fldChar w:fldCharType="begin"/>
      </w:r>
      <w:r>
        <w:rPr>
          <w:sz w:val="21"/>
          <w:szCs w:val="21"/>
        </w:rPr>
        <w:instrText xml:space="preserve"> HYPERLINK \l "_Toc7006" </w:instrText>
      </w:r>
      <w:r>
        <w:rPr>
          <w:sz w:val="21"/>
          <w:szCs w:val="21"/>
        </w:rPr>
        <w:fldChar w:fldCharType="separate"/>
      </w:r>
      <w:r>
        <w:rPr>
          <w:rFonts w:hint="eastAsia" w:ascii="宋体" w:hAnsi="宋体" w:eastAsia="宋体" w:cs="仿宋"/>
          <w:sz w:val="21"/>
          <w:szCs w:val="21"/>
        </w:rPr>
        <w:t xml:space="preserve">1 </w:t>
      </w:r>
      <w:r>
        <w:rPr>
          <w:rFonts w:cs="仿宋"/>
          <w:sz w:val="21"/>
          <w:szCs w:val="21"/>
        </w:rPr>
        <w:t xml:space="preserve"> </w:t>
      </w:r>
      <w:r>
        <w:rPr>
          <w:rFonts w:hint="eastAsia" w:ascii="宋体" w:hAnsi="宋体" w:eastAsia="宋体" w:cs="仿宋"/>
          <w:sz w:val="21"/>
          <w:szCs w:val="21"/>
        </w:rPr>
        <w:t>范围</w:t>
      </w:r>
      <w:r>
        <w:rPr>
          <w:rFonts w:hint="eastAsia" w:ascii="宋体" w:hAnsi="宋体" w:eastAsia="宋体" w:cs="仿宋"/>
          <w:sz w:val="21"/>
          <w:szCs w:val="21"/>
        </w:rPr>
        <w:tab/>
      </w:r>
      <w:r>
        <w:rPr>
          <w:rFonts w:hint="eastAsia" w:ascii="宋体" w:hAnsi="宋体" w:eastAsia="宋体" w:cs="仿宋"/>
          <w:sz w:val="21"/>
          <w:szCs w:val="21"/>
        </w:rPr>
        <w:fldChar w:fldCharType="begin"/>
      </w:r>
      <w:r>
        <w:rPr>
          <w:rFonts w:hint="eastAsia" w:ascii="宋体" w:hAnsi="宋体" w:eastAsia="宋体" w:cs="仿宋"/>
          <w:sz w:val="21"/>
          <w:szCs w:val="21"/>
        </w:rPr>
        <w:instrText xml:space="preserve"> PAGEREF _Toc7006 \h </w:instrText>
      </w:r>
      <w:r>
        <w:rPr>
          <w:rFonts w:hint="eastAsia" w:ascii="宋体" w:hAnsi="宋体" w:eastAsia="宋体" w:cs="仿宋"/>
          <w:sz w:val="21"/>
          <w:szCs w:val="21"/>
        </w:rPr>
        <w:fldChar w:fldCharType="separate"/>
      </w:r>
      <w:r>
        <w:rPr>
          <w:rFonts w:hint="eastAsia" w:ascii="宋体" w:hAnsi="宋体" w:eastAsia="宋体" w:cs="仿宋"/>
          <w:sz w:val="21"/>
          <w:szCs w:val="21"/>
        </w:rPr>
        <w:t>1</w:t>
      </w:r>
      <w:r>
        <w:rPr>
          <w:rFonts w:hint="eastAsia" w:ascii="宋体" w:hAnsi="宋体" w:eastAsia="宋体" w:cs="仿宋"/>
          <w:sz w:val="21"/>
          <w:szCs w:val="21"/>
        </w:rPr>
        <w:fldChar w:fldCharType="end"/>
      </w:r>
      <w:r>
        <w:rPr>
          <w:rFonts w:ascii="宋体" w:hAnsi="宋体" w:eastAsia="宋体" w:cs="仿宋"/>
          <w:sz w:val="21"/>
          <w:szCs w:val="21"/>
        </w:rPr>
        <w:fldChar w:fldCharType="end"/>
      </w:r>
    </w:p>
    <w:p>
      <w:pPr>
        <w:pStyle w:val="8"/>
        <w:tabs>
          <w:tab w:val="right" w:leader="dot" w:pos="9354"/>
        </w:tabs>
        <w:spacing w:line="400" w:lineRule="exact"/>
        <w:rPr>
          <w:rFonts w:ascii="宋体" w:hAnsi="宋体" w:eastAsia="宋体" w:cs="仿宋"/>
          <w:sz w:val="21"/>
          <w:szCs w:val="21"/>
        </w:rPr>
      </w:pPr>
      <w:r>
        <w:rPr>
          <w:sz w:val="21"/>
          <w:szCs w:val="21"/>
        </w:rPr>
        <w:fldChar w:fldCharType="begin"/>
      </w:r>
      <w:r>
        <w:rPr>
          <w:sz w:val="21"/>
          <w:szCs w:val="21"/>
        </w:rPr>
        <w:instrText xml:space="preserve"> HYPERLINK \l "_Toc29075" </w:instrText>
      </w:r>
      <w:r>
        <w:rPr>
          <w:sz w:val="21"/>
          <w:szCs w:val="21"/>
        </w:rPr>
        <w:fldChar w:fldCharType="separate"/>
      </w:r>
      <w:r>
        <w:rPr>
          <w:rFonts w:hint="eastAsia" w:ascii="宋体" w:hAnsi="宋体" w:eastAsia="宋体" w:cs="仿宋"/>
          <w:sz w:val="21"/>
          <w:szCs w:val="21"/>
        </w:rPr>
        <w:t xml:space="preserve">2 </w:t>
      </w:r>
      <w:r>
        <w:rPr>
          <w:rFonts w:cs="仿宋"/>
          <w:sz w:val="21"/>
          <w:szCs w:val="21"/>
        </w:rPr>
        <w:t xml:space="preserve"> </w:t>
      </w:r>
      <w:r>
        <w:rPr>
          <w:rFonts w:hint="eastAsia" w:ascii="宋体" w:hAnsi="宋体" w:eastAsia="宋体" w:cs="仿宋"/>
          <w:sz w:val="21"/>
          <w:szCs w:val="21"/>
        </w:rPr>
        <w:t>规范性引用文件</w:t>
      </w:r>
      <w:r>
        <w:rPr>
          <w:rFonts w:hint="eastAsia" w:ascii="宋体" w:hAnsi="宋体" w:eastAsia="宋体" w:cs="仿宋"/>
          <w:sz w:val="21"/>
          <w:szCs w:val="21"/>
        </w:rPr>
        <w:tab/>
      </w:r>
      <w:r>
        <w:rPr>
          <w:rFonts w:hint="eastAsia" w:ascii="宋体" w:hAnsi="宋体" w:eastAsia="宋体" w:cs="仿宋"/>
          <w:sz w:val="21"/>
          <w:szCs w:val="21"/>
        </w:rPr>
        <w:fldChar w:fldCharType="begin"/>
      </w:r>
      <w:r>
        <w:rPr>
          <w:rFonts w:hint="eastAsia" w:ascii="宋体" w:hAnsi="宋体" w:eastAsia="宋体" w:cs="仿宋"/>
          <w:sz w:val="21"/>
          <w:szCs w:val="21"/>
        </w:rPr>
        <w:instrText xml:space="preserve"> PAGEREF _Toc29075 \h </w:instrText>
      </w:r>
      <w:r>
        <w:rPr>
          <w:rFonts w:hint="eastAsia" w:ascii="宋体" w:hAnsi="宋体" w:eastAsia="宋体" w:cs="仿宋"/>
          <w:sz w:val="21"/>
          <w:szCs w:val="21"/>
        </w:rPr>
        <w:fldChar w:fldCharType="separate"/>
      </w:r>
      <w:r>
        <w:rPr>
          <w:rFonts w:hint="eastAsia" w:ascii="宋体" w:hAnsi="宋体" w:eastAsia="宋体" w:cs="仿宋"/>
          <w:sz w:val="21"/>
          <w:szCs w:val="21"/>
        </w:rPr>
        <w:t>1</w:t>
      </w:r>
      <w:r>
        <w:rPr>
          <w:rFonts w:hint="eastAsia" w:ascii="宋体" w:hAnsi="宋体" w:eastAsia="宋体" w:cs="仿宋"/>
          <w:sz w:val="21"/>
          <w:szCs w:val="21"/>
        </w:rPr>
        <w:fldChar w:fldCharType="end"/>
      </w:r>
      <w:r>
        <w:rPr>
          <w:rFonts w:ascii="宋体" w:hAnsi="宋体" w:eastAsia="宋体" w:cs="仿宋"/>
          <w:sz w:val="21"/>
          <w:szCs w:val="21"/>
        </w:rPr>
        <w:fldChar w:fldCharType="end"/>
      </w:r>
    </w:p>
    <w:p>
      <w:pPr>
        <w:pStyle w:val="8"/>
        <w:tabs>
          <w:tab w:val="right" w:leader="dot" w:pos="9354"/>
        </w:tabs>
        <w:spacing w:line="400" w:lineRule="exact"/>
        <w:rPr>
          <w:rFonts w:ascii="宋体" w:hAnsi="宋体" w:eastAsia="宋体" w:cs="仿宋"/>
          <w:sz w:val="21"/>
          <w:szCs w:val="21"/>
        </w:rPr>
      </w:pPr>
      <w:r>
        <w:rPr>
          <w:sz w:val="21"/>
          <w:szCs w:val="21"/>
        </w:rPr>
        <w:fldChar w:fldCharType="begin"/>
      </w:r>
      <w:r>
        <w:rPr>
          <w:sz w:val="21"/>
          <w:szCs w:val="21"/>
        </w:rPr>
        <w:instrText xml:space="preserve"> HYPERLINK \l "_Toc31429" </w:instrText>
      </w:r>
      <w:r>
        <w:rPr>
          <w:sz w:val="21"/>
          <w:szCs w:val="21"/>
        </w:rPr>
        <w:fldChar w:fldCharType="separate"/>
      </w:r>
      <w:r>
        <w:rPr>
          <w:rFonts w:hint="eastAsia" w:ascii="宋体" w:hAnsi="宋体" w:eastAsia="宋体" w:cs="仿宋"/>
          <w:sz w:val="21"/>
          <w:szCs w:val="21"/>
        </w:rPr>
        <w:t xml:space="preserve">3 </w:t>
      </w:r>
      <w:r>
        <w:rPr>
          <w:rFonts w:cs="仿宋"/>
          <w:sz w:val="21"/>
          <w:szCs w:val="21"/>
        </w:rPr>
        <w:t xml:space="preserve"> </w:t>
      </w:r>
      <w:r>
        <w:rPr>
          <w:rFonts w:hint="eastAsia" w:ascii="宋体" w:hAnsi="宋体" w:eastAsia="宋体" w:cs="仿宋"/>
          <w:sz w:val="21"/>
          <w:szCs w:val="21"/>
        </w:rPr>
        <w:t>术语和定义</w:t>
      </w:r>
      <w:r>
        <w:rPr>
          <w:rFonts w:hint="eastAsia" w:ascii="宋体" w:hAnsi="宋体" w:eastAsia="宋体" w:cs="仿宋"/>
          <w:sz w:val="21"/>
          <w:szCs w:val="21"/>
        </w:rPr>
        <w:tab/>
      </w:r>
      <w:r>
        <w:rPr>
          <w:rFonts w:hint="eastAsia" w:ascii="宋体" w:hAnsi="宋体" w:eastAsia="宋体" w:cs="仿宋"/>
          <w:sz w:val="21"/>
          <w:szCs w:val="21"/>
        </w:rPr>
        <w:fldChar w:fldCharType="begin"/>
      </w:r>
      <w:r>
        <w:rPr>
          <w:rFonts w:hint="eastAsia" w:ascii="宋体" w:hAnsi="宋体" w:eastAsia="宋体" w:cs="仿宋"/>
          <w:sz w:val="21"/>
          <w:szCs w:val="21"/>
        </w:rPr>
        <w:instrText xml:space="preserve"> PAGEREF _Toc31429 \h </w:instrText>
      </w:r>
      <w:r>
        <w:rPr>
          <w:rFonts w:hint="eastAsia" w:ascii="宋体" w:hAnsi="宋体" w:eastAsia="宋体" w:cs="仿宋"/>
          <w:sz w:val="21"/>
          <w:szCs w:val="21"/>
        </w:rPr>
        <w:fldChar w:fldCharType="separate"/>
      </w:r>
      <w:r>
        <w:rPr>
          <w:rFonts w:hint="eastAsia" w:ascii="宋体" w:hAnsi="宋体" w:eastAsia="宋体" w:cs="仿宋"/>
          <w:sz w:val="21"/>
          <w:szCs w:val="21"/>
        </w:rPr>
        <w:t>1</w:t>
      </w:r>
      <w:r>
        <w:rPr>
          <w:rFonts w:hint="eastAsia" w:ascii="宋体" w:hAnsi="宋体" w:eastAsia="宋体" w:cs="仿宋"/>
          <w:sz w:val="21"/>
          <w:szCs w:val="21"/>
        </w:rPr>
        <w:fldChar w:fldCharType="end"/>
      </w:r>
      <w:r>
        <w:rPr>
          <w:rFonts w:ascii="宋体" w:hAnsi="宋体" w:eastAsia="宋体" w:cs="仿宋"/>
          <w:sz w:val="21"/>
          <w:szCs w:val="21"/>
        </w:rPr>
        <w:fldChar w:fldCharType="end"/>
      </w:r>
    </w:p>
    <w:p>
      <w:pPr>
        <w:pStyle w:val="8"/>
        <w:tabs>
          <w:tab w:val="right" w:leader="dot" w:pos="9354"/>
        </w:tabs>
        <w:spacing w:line="400" w:lineRule="exact"/>
        <w:rPr>
          <w:rFonts w:ascii="宋体" w:hAnsi="宋体" w:eastAsia="宋体" w:cs="仿宋"/>
          <w:sz w:val="21"/>
          <w:szCs w:val="21"/>
        </w:rPr>
      </w:pPr>
      <w:r>
        <w:rPr>
          <w:sz w:val="21"/>
          <w:szCs w:val="21"/>
        </w:rPr>
        <w:fldChar w:fldCharType="begin"/>
      </w:r>
      <w:r>
        <w:rPr>
          <w:sz w:val="21"/>
          <w:szCs w:val="21"/>
        </w:rPr>
        <w:instrText xml:space="preserve"> HYPERLINK \l "_Toc14317" </w:instrText>
      </w:r>
      <w:r>
        <w:rPr>
          <w:sz w:val="21"/>
          <w:szCs w:val="21"/>
        </w:rPr>
        <w:fldChar w:fldCharType="separate"/>
      </w:r>
      <w:r>
        <w:rPr>
          <w:rFonts w:hint="eastAsia" w:ascii="宋体" w:hAnsi="宋体" w:eastAsia="宋体" w:cs="仿宋"/>
          <w:sz w:val="21"/>
          <w:szCs w:val="21"/>
        </w:rPr>
        <w:t>4</w:t>
      </w:r>
      <w:r>
        <w:rPr>
          <w:rFonts w:cs="仿宋"/>
          <w:sz w:val="21"/>
          <w:szCs w:val="21"/>
        </w:rPr>
        <w:t xml:space="preserve"> </w:t>
      </w:r>
      <w:r>
        <w:rPr>
          <w:rFonts w:hint="eastAsia" w:ascii="宋体" w:hAnsi="宋体" w:eastAsia="宋体" w:cs="仿宋"/>
          <w:sz w:val="21"/>
          <w:szCs w:val="21"/>
        </w:rPr>
        <w:t xml:space="preserve"> </w:t>
      </w:r>
      <w:r>
        <w:rPr>
          <w:rFonts w:hint="eastAsia" w:cs="仿宋"/>
          <w:sz w:val="21"/>
          <w:szCs w:val="21"/>
          <w:lang w:val="en-US" w:eastAsia="zh-CN"/>
        </w:rPr>
        <w:t>要求</w:t>
      </w:r>
      <w:r>
        <w:rPr>
          <w:rFonts w:hint="eastAsia" w:ascii="宋体" w:hAnsi="宋体" w:eastAsia="宋体" w:cs="仿宋"/>
          <w:sz w:val="21"/>
          <w:szCs w:val="21"/>
        </w:rPr>
        <w:tab/>
      </w:r>
      <w:r>
        <w:rPr>
          <w:rFonts w:hint="eastAsia" w:ascii="宋体" w:hAnsi="宋体" w:eastAsia="宋体" w:cs="仿宋"/>
          <w:sz w:val="21"/>
          <w:szCs w:val="21"/>
        </w:rPr>
        <w:fldChar w:fldCharType="begin"/>
      </w:r>
      <w:r>
        <w:rPr>
          <w:rFonts w:hint="eastAsia" w:ascii="宋体" w:hAnsi="宋体" w:eastAsia="宋体" w:cs="仿宋"/>
          <w:sz w:val="21"/>
          <w:szCs w:val="21"/>
        </w:rPr>
        <w:instrText xml:space="preserve"> PAGEREF _Toc14317 \h </w:instrText>
      </w:r>
      <w:r>
        <w:rPr>
          <w:rFonts w:hint="eastAsia" w:ascii="宋体" w:hAnsi="宋体" w:eastAsia="宋体" w:cs="仿宋"/>
          <w:sz w:val="21"/>
          <w:szCs w:val="21"/>
        </w:rPr>
        <w:fldChar w:fldCharType="separate"/>
      </w:r>
      <w:r>
        <w:rPr>
          <w:rFonts w:hint="eastAsia" w:ascii="宋体" w:hAnsi="宋体" w:eastAsia="宋体" w:cs="仿宋"/>
          <w:sz w:val="21"/>
          <w:szCs w:val="21"/>
        </w:rPr>
        <w:t>1</w:t>
      </w:r>
      <w:r>
        <w:rPr>
          <w:rFonts w:hint="eastAsia" w:ascii="宋体" w:hAnsi="宋体" w:eastAsia="宋体" w:cs="仿宋"/>
          <w:sz w:val="21"/>
          <w:szCs w:val="21"/>
        </w:rPr>
        <w:fldChar w:fldCharType="end"/>
      </w:r>
      <w:r>
        <w:rPr>
          <w:rFonts w:ascii="宋体" w:hAnsi="宋体" w:eastAsia="宋体" w:cs="仿宋"/>
          <w:sz w:val="21"/>
          <w:szCs w:val="21"/>
        </w:rPr>
        <w:fldChar w:fldCharType="end"/>
      </w:r>
    </w:p>
    <w:p>
      <w:pPr>
        <w:pStyle w:val="8"/>
        <w:tabs>
          <w:tab w:val="right" w:leader="dot" w:pos="9354"/>
        </w:tabs>
        <w:spacing w:line="400" w:lineRule="exact"/>
        <w:rPr>
          <w:rFonts w:ascii="宋体" w:hAnsi="宋体" w:eastAsia="宋体" w:cs="仿宋"/>
          <w:sz w:val="21"/>
          <w:szCs w:val="21"/>
        </w:rPr>
      </w:pPr>
      <w:r>
        <w:rPr>
          <w:sz w:val="21"/>
          <w:szCs w:val="21"/>
        </w:rPr>
        <w:fldChar w:fldCharType="begin"/>
      </w:r>
      <w:r>
        <w:rPr>
          <w:sz w:val="21"/>
          <w:szCs w:val="21"/>
        </w:rPr>
        <w:instrText xml:space="preserve"> HYPERLINK \l "_Toc16817" </w:instrText>
      </w:r>
      <w:r>
        <w:rPr>
          <w:sz w:val="21"/>
          <w:szCs w:val="21"/>
        </w:rPr>
        <w:fldChar w:fldCharType="separate"/>
      </w:r>
      <w:r>
        <w:rPr>
          <w:rFonts w:hint="eastAsia" w:ascii="宋体" w:hAnsi="宋体" w:eastAsia="宋体" w:cs="仿宋"/>
          <w:sz w:val="21"/>
          <w:szCs w:val="21"/>
        </w:rPr>
        <w:t>5</w:t>
      </w:r>
      <w:r>
        <w:rPr>
          <w:rFonts w:cs="仿宋"/>
          <w:sz w:val="21"/>
          <w:szCs w:val="21"/>
        </w:rPr>
        <w:t xml:space="preserve"> </w:t>
      </w:r>
      <w:r>
        <w:rPr>
          <w:rFonts w:hint="eastAsia" w:ascii="宋体" w:hAnsi="宋体" w:eastAsia="宋体" w:cs="仿宋"/>
          <w:sz w:val="21"/>
          <w:szCs w:val="21"/>
        </w:rPr>
        <w:t xml:space="preserve"> </w:t>
      </w:r>
      <w:r>
        <w:rPr>
          <w:rFonts w:hint="eastAsia" w:cs="仿宋"/>
          <w:sz w:val="21"/>
          <w:szCs w:val="21"/>
          <w:lang w:val="en-US" w:eastAsia="zh-CN"/>
        </w:rPr>
        <w:t>检验方法</w:t>
      </w:r>
      <w:r>
        <w:rPr>
          <w:rFonts w:hint="eastAsia" w:ascii="宋体" w:hAnsi="宋体" w:eastAsia="宋体" w:cs="仿宋"/>
          <w:sz w:val="21"/>
          <w:szCs w:val="21"/>
        </w:rPr>
        <w:tab/>
      </w:r>
      <w:r>
        <w:rPr>
          <w:rFonts w:hint="eastAsia" w:ascii="宋体" w:hAnsi="宋体" w:eastAsia="宋体" w:cs="仿宋"/>
          <w:sz w:val="21"/>
          <w:szCs w:val="21"/>
        </w:rPr>
        <w:fldChar w:fldCharType="begin"/>
      </w:r>
      <w:r>
        <w:rPr>
          <w:rFonts w:hint="eastAsia" w:ascii="宋体" w:hAnsi="宋体" w:eastAsia="宋体" w:cs="仿宋"/>
          <w:sz w:val="21"/>
          <w:szCs w:val="21"/>
        </w:rPr>
        <w:instrText xml:space="preserve"> PAGEREF _Toc16817 \h </w:instrText>
      </w:r>
      <w:r>
        <w:rPr>
          <w:rFonts w:hint="eastAsia" w:ascii="宋体" w:hAnsi="宋体" w:eastAsia="宋体" w:cs="仿宋"/>
          <w:sz w:val="21"/>
          <w:szCs w:val="21"/>
        </w:rPr>
        <w:fldChar w:fldCharType="separate"/>
      </w:r>
      <w:r>
        <w:rPr>
          <w:rFonts w:hint="eastAsia" w:ascii="宋体" w:hAnsi="宋体" w:eastAsia="宋体" w:cs="仿宋"/>
          <w:sz w:val="21"/>
          <w:szCs w:val="21"/>
        </w:rPr>
        <w:t>1</w:t>
      </w:r>
      <w:r>
        <w:rPr>
          <w:rFonts w:hint="eastAsia" w:ascii="宋体" w:hAnsi="宋体" w:eastAsia="宋体" w:cs="仿宋"/>
          <w:sz w:val="21"/>
          <w:szCs w:val="21"/>
        </w:rPr>
        <w:fldChar w:fldCharType="end"/>
      </w:r>
      <w:r>
        <w:rPr>
          <w:rFonts w:ascii="宋体" w:hAnsi="宋体" w:eastAsia="宋体" w:cs="仿宋"/>
          <w:sz w:val="21"/>
          <w:szCs w:val="21"/>
        </w:rPr>
        <w:fldChar w:fldCharType="end"/>
      </w:r>
    </w:p>
    <w:p>
      <w:pPr>
        <w:pStyle w:val="8"/>
        <w:tabs>
          <w:tab w:val="right" w:leader="dot" w:pos="9354"/>
        </w:tabs>
        <w:spacing w:line="400" w:lineRule="exact"/>
        <w:rPr>
          <w:rFonts w:ascii="宋体" w:hAnsi="宋体" w:eastAsia="宋体" w:cs="仿宋"/>
          <w:sz w:val="21"/>
          <w:szCs w:val="21"/>
        </w:rPr>
      </w:pPr>
      <w:r>
        <w:rPr>
          <w:sz w:val="21"/>
          <w:szCs w:val="21"/>
        </w:rPr>
        <w:fldChar w:fldCharType="begin"/>
      </w:r>
      <w:r>
        <w:rPr>
          <w:sz w:val="21"/>
          <w:szCs w:val="21"/>
        </w:rPr>
        <w:instrText xml:space="preserve"> HYPERLINK \l "_Toc15970" </w:instrText>
      </w:r>
      <w:r>
        <w:rPr>
          <w:sz w:val="21"/>
          <w:szCs w:val="21"/>
        </w:rPr>
        <w:fldChar w:fldCharType="separate"/>
      </w:r>
      <w:r>
        <w:rPr>
          <w:rFonts w:hint="eastAsia" w:ascii="宋体" w:hAnsi="宋体" w:eastAsia="宋体" w:cs="仿宋"/>
          <w:sz w:val="21"/>
          <w:szCs w:val="21"/>
        </w:rPr>
        <w:t xml:space="preserve">6 </w:t>
      </w:r>
      <w:r>
        <w:rPr>
          <w:rFonts w:cs="仿宋"/>
          <w:sz w:val="21"/>
          <w:szCs w:val="21"/>
        </w:rPr>
        <w:t xml:space="preserve"> </w:t>
      </w:r>
      <w:r>
        <w:rPr>
          <w:rFonts w:hint="eastAsia" w:cs="仿宋"/>
          <w:sz w:val="21"/>
          <w:szCs w:val="21"/>
          <w:lang w:val="en-US" w:eastAsia="zh-CN"/>
        </w:rPr>
        <w:t>检验规则</w:t>
      </w:r>
      <w:r>
        <w:rPr>
          <w:rFonts w:hint="eastAsia" w:ascii="宋体" w:hAnsi="宋体" w:eastAsia="宋体" w:cs="仿宋"/>
          <w:sz w:val="21"/>
          <w:szCs w:val="21"/>
        </w:rPr>
        <w:tab/>
      </w:r>
      <w:r>
        <w:rPr>
          <w:rFonts w:hint="eastAsia" w:ascii="宋体" w:hAnsi="宋体" w:eastAsia="宋体" w:cs="仿宋"/>
          <w:sz w:val="21"/>
          <w:szCs w:val="21"/>
        </w:rPr>
        <w:fldChar w:fldCharType="begin"/>
      </w:r>
      <w:r>
        <w:rPr>
          <w:rFonts w:hint="eastAsia" w:ascii="宋体" w:hAnsi="宋体" w:eastAsia="宋体" w:cs="仿宋"/>
          <w:sz w:val="21"/>
          <w:szCs w:val="21"/>
        </w:rPr>
        <w:instrText xml:space="preserve"> PAGEREF _Toc15970 \h </w:instrText>
      </w:r>
      <w:r>
        <w:rPr>
          <w:rFonts w:hint="eastAsia" w:ascii="宋体" w:hAnsi="宋体" w:eastAsia="宋体" w:cs="仿宋"/>
          <w:sz w:val="21"/>
          <w:szCs w:val="21"/>
        </w:rPr>
        <w:fldChar w:fldCharType="separate"/>
      </w:r>
      <w:r>
        <w:rPr>
          <w:rFonts w:hint="eastAsia" w:ascii="宋体" w:hAnsi="宋体" w:eastAsia="宋体" w:cs="仿宋"/>
          <w:sz w:val="21"/>
          <w:szCs w:val="21"/>
        </w:rPr>
        <w:t>1</w:t>
      </w:r>
      <w:r>
        <w:rPr>
          <w:rFonts w:hint="eastAsia" w:ascii="宋体" w:hAnsi="宋体" w:eastAsia="宋体" w:cs="仿宋"/>
          <w:sz w:val="21"/>
          <w:szCs w:val="21"/>
        </w:rPr>
        <w:fldChar w:fldCharType="end"/>
      </w:r>
      <w:r>
        <w:rPr>
          <w:rFonts w:ascii="宋体" w:hAnsi="宋体" w:eastAsia="宋体" w:cs="仿宋"/>
          <w:sz w:val="21"/>
          <w:szCs w:val="21"/>
        </w:rPr>
        <w:fldChar w:fldCharType="end"/>
      </w:r>
    </w:p>
    <w:p>
      <w:pPr>
        <w:pStyle w:val="8"/>
        <w:tabs>
          <w:tab w:val="right" w:leader="dot" w:pos="9354"/>
        </w:tabs>
        <w:spacing w:line="400" w:lineRule="exact"/>
        <w:rPr>
          <w:rFonts w:ascii="宋体" w:hAnsi="宋体" w:eastAsia="宋体" w:cs="仿宋"/>
          <w:sz w:val="21"/>
          <w:szCs w:val="21"/>
        </w:rPr>
      </w:pPr>
      <w:r>
        <w:rPr>
          <w:sz w:val="21"/>
          <w:szCs w:val="21"/>
        </w:rPr>
        <w:fldChar w:fldCharType="begin"/>
      </w:r>
      <w:r>
        <w:rPr>
          <w:sz w:val="21"/>
          <w:szCs w:val="21"/>
        </w:rPr>
        <w:instrText xml:space="preserve"> HYPERLINK \l "_Toc8520" </w:instrText>
      </w:r>
      <w:r>
        <w:rPr>
          <w:sz w:val="21"/>
          <w:szCs w:val="21"/>
        </w:rPr>
        <w:fldChar w:fldCharType="separate"/>
      </w:r>
      <w:r>
        <w:rPr>
          <w:rFonts w:hint="eastAsia" w:ascii="宋体" w:hAnsi="宋体" w:eastAsia="宋体" w:cs="仿宋"/>
          <w:sz w:val="21"/>
          <w:szCs w:val="21"/>
        </w:rPr>
        <w:t xml:space="preserve">7 </w:t>
      </w:r>
      <w:r>
        <w:rPr>
          <w:rFonts w:cs="仿宋"/>
          <w:sz w:val="21"/>
          <w:szCs w:val="21"/>
        </w:rPr>
        <w:t xml:space="preserve"> </w:t>
      </w:r>
      <w:r>
        <w:rPr>
          <w:rFonts w:hint="eastAsia" w:ascii="宋体" w:hAnsi="宋体" w:eastAsia="宋体" w:cs="仿宋"/>
          <w:sz w:val="21"/>
          <w:szCs w:val="21"/>
        </w:rPr>
        <w:t>标志、包装、运输、保管</w:t>
      </w:r>
      <w:r>
        <w:rPr>
          <w:rFonts w:hint="eastAsia" w:ascii="宋体" w:hAnsi="宋体" w:eastAsia="宋体" w:cs="仿宋"/>
          <w:sz w:val="21"/>
          <w:szCs w:val="21"/>
        </w:rPr>
        <w:tab/>
      </w:r>
      <w:r>
        <w:rPr>
          <w:rFonts w:hint="eastAsia" w:ascii="宋体" w:hAnsi="宋体" w:eastAsia="宋体" w:cs="仿宋"/>
          <w:sz w:val="21"/>
          <w:szCs w:val="21"/>
        </w:rPr>
        <w:fldChar w:fldCharType="begin"/>
      </w:r>
      <w:r>
        <w:rPr>
          <w:rFonts w:hint="eastAsia" w:ascii="宋体" w:hAnsi="宋体" w:eastAsia="宋体" w:cs="仿宋"/>
          <w:sz w:val="21"/>
          <w:szCs w:val="21"/>
        </w:rPr>
        <w:instrText xml:space="preserve"> PAGEREF _Toc8520 \h </w:instrText>
      </w:r>
      <w:r>
        <w:rPr>
          <w:rFonts w:hint="eastAsia" w:ascii="宋体" w:hAnsi="宋体" w:eastAsia="宋体" w:cs="仿宋"/>
          <w:sz w:val="21"/>
          <w:szCs w:val="21"/>
        </w:rPr>
        <w:fldChar w:fldCharType="separate"/>
      </w:r>
      <w:r>
        <w:rPr>
          <w:rFonts w:hint="eastAsia" w:ascii="宋体" w:hAnsi="宋体" w:eastAsia="宋体" w:cs="仿宋"/>
          <w:sz w:val="21"/>
          <w:szCs w:val="21"/>
        </w:rPr>
        <w:t>2</w:t>
      </w:r>
      <w:r>
        <w:rPr>
          <w:rFonts w:hint="eastAsia" w:ascii="宋体" w:hAnsi="宋体" w:eastAsia="宋体" w:cs="仿宋"/>
          <w:sz w:val="21"/>
          <w:szCs w:val="21"/>
        </w:rPr>
        <w:fldChar w:fldCharType="end"/>
      </w:r>
      <w:r>
        <w:rPr>
          <w:rFonts w:ascii="宋体" w:hAnsi="宋体" w:eastAsia="宋体" w:cs="仿宋"/>
          <w:sz w:val="21"/>
          <w:szCs w:val="21"/>
        </w:rPr>
        <w:fldChar w:fldCharType="end"/>
      </w:r>
    </w:p>
    <w:p>
      <w:pPr>
        <w:pStyle w:val="8"/>
        <w:tabs>
          <w:tab w:val="right" w:leader="dot" w:pos="9354"/>
        </w:tabs>
        <w:spacing w:line="400" w:lineRule="exact"/>
        <w:rPr>
          <w:rFonts w:ascii="宋体" w:hAnsi="宋体" w:eastAsia="宋体" w:cs="仿宋"/>
          <w:sz w:val="21"/>
          <w:szCs w:val="21"/>
        </w:rPr>
      </w:pPr>
      <w:r>
        <w:rPr>
          <w:sz w:val="21"/>
          <w:szCs w:val="21"/>
        </w:rPr>
        <w:fldChar w:fldCharType="begin"/>
      </w:r>
      <w:r>
        <w:rPr>
          <w:sz w:val="21"/>
          <w:szCs w:val="21"/>
        </w:rPr>
        <w:instrText xml:space="preserve"> HYPERLINK \l "_Toc14554" </w:instrText>
      </w:r>
      <w:r>
        <w:rPr>
          <w:sz w:val="21"/>
          <w:szCs w:val="21"/>
        </w:rPr>
        <w:fldChar w:fldCharType="separate"/>
      </w:r>
      <w:r>
        <w:rPr>
          <w:rFonts w:hint="eastAsia" w:ascii="宋体" w:hAnsi="宋体" w:eastAsia="宋体" w:cs="仿宋"/>
          <w:sz w:val="21"/>
          <w:szCs w:val="21"/>
        </w:rPr>
        <w:t xml:space="preserve">8 </w:t>
      </w:r>
      <w:r>
        <w:rPr>
          <w:rFonts w:cs="仿宋"/>
          <w:sz w:val="21"/>
          <w:szCs w:val="21"/>
        </w:rPr>
        <w:t xml:space="preserve"> </w:t>
      </w:r>
      <w:r>
        <w:rPr>
          <w:rFonts w:hint="eastAsia" w:cs="仿宋"/>
          <w:sz w:val="21"/>
          <w:szCs w:val="21"/>
          <w:lang w:val="en-US" w:eastAsia="zh-CN"/>
        </w:rPr>
        <w:t>保存期</w:t>
      </w:r>
      <w:r>
        <w:rPr>
          <w:rFonts w:hint="eastAsia" w:ascii="宋体" w:hAnsi="宋体" w:eastAsia="宋体" w:cs="仿宋"/>
          <w:sz w:val="21"/>
          <w:szCs w:val="21"/>
        </w:rPr>
        <w:tab/>
      </w:r>
      <w:r>
        <w:rPr>
          <w:rFonts w:hint="eastAsia" w:ascii="宋体" w:hAnsi="宋体" w:eastAsia="宋体" w:cs="仿宋"/>
          <w:sz w:val="21"/>
          <w:szCs w:val="21"/>
        </w:rPr>
        <w:fldChar w:fldCharType="begin"/>
      </w:r>
      <w:r>
        <w:rPr>
          <w:rFonts w:hint="eastAsia" w:ascii="宋体" w:hAnsi="宋体" w:eastAsia="宋体" w:cs="仿宋"/>
          <w:sz w:val="21"/>
          <w:szCs w:val="21"/>
        </w:rPr>
        <w:instrText xml:space="preserve"> PAGEREF _Toc14554 \h </w:instrText>
      </w:r>
      <w:r>
        <w:rPr>
          <w:rFonts w:hint="eastAsia" w:ascii="宋体" w:hAnsi="宋体" w:eastAsia="宋体" w:cs="仿宋"/>
          <w:sz w:val="21"/>
          <w:szCs w:val="21"/>
        </w:rPr>
        <w:fldChar w:fldCharType="separate"/>
      </w:r>
      <w:r>
        <w:rPr>
          <w:rFonts w:hint="eastAsia" w:ascii="宋体" w:hAnsi="宋体" w:eastAsia="宋体" w:cs="仿宋"/>
          <w:sz w:val="21"/>
          <w:szCs w:val="21"/>
        </w:rPr>
        <w:t>4</w:t>
      </w:r>
      <w:r>
        <w:rPr>
          <w:rFonts w:hint="eastAsia" w:ascii="宋体" w:hAnsi="宋体" w:eastAsia="宋体" w:cs="仿宋"/>
          <w:sz w:val="21"/>
          <w:szCs w:val="21"/>
        </w:rPr>
        <w:fldChar w:fldCharType="end"/>
      </w:r>
      <w:r>
        <w:rPr>
          <w:rFonts w:ascii="宋体" w:hAnsi="宋体" w:eastAsia="宋体" w:cs="仿宋"/>
          <w:sz w:val="21"/>
          <w:szCs w:val="21"/>
        </w:rPr>
        <w:fldChar w:fldCharType="end"/>
      </w:r>
    </w:p>
    <w:p>
      <w:pPr>
        <w:pStyle w:val="15"/>
        <w:spacing w:line="400" w:lineRule="exact"/>
        <w:outlineLvl w:val="9"/>
      </w:pPr>
      <w:r>
        <w:rPr>
          <w:rFonts w:hint="eastAsia" w:ascii="宋体" w:hAnsi="宋体" w:eastAsia="宋体" w:cs="仿宋"/>
          <w:sz w:val="21"/>
          <w:szCs w:val="21"/>
        </w:rPr>
        <w:fldChar w:fldCharType="end"/>
      </w:r>
      <w:bookmarkStart w:id="18" w:name="_Toc8988"/>
      <w:r>
        <w:rPr>
          <w:rFonts w:hint="eastAsia"/>
        </w:rPr>
        <w:t>前</w:t>
      </w:r>
      <w:bookmarkStart w:id="19" w:name="BKQY"/>
      <w:r>
        <w:rPr>
          <w:rFonts w:hAnsi="黑体"/>
        </w:rPr>
        <w:t>  </w:t>
      </w:r>
      <w:r>
        <w:rPr>
          <w:rFonts w:hint="eastAsia"/>
        </w:rPr>
        <w:t>言</w:t>
      </w:r>
      <w:bookmarkEnd w:id="18"/>
      <w:bookmarkEnd w:id="19"/>
    </w:p>
    <w:p>
      <w:pPr>
        <w:widowControl/>
        <w:tabs>
          <w:tab w:val="center" w:pos="4201"/>
          <w:tab w:val="right" w:leader="dot" w:pos="9298"/>
        </w:tabs>
        <w:ind w:firstLine="420" w:firstLineChars="200"/>
        <w:rPr>
          <w:sz w:val="21"/>
          <w:szCs w:val="21"/>
        </w:rPr>
      </w:pPr>
      <w:r>
        <w:rPr>
          <w:sz w:val="21"/>
          <w:szCs w:val="21"/>
        </w:rPr>
        <w:t>本文件按照GB/T</w:t>
      </w:r>
      <w:r>
        <w:rPr>
          <w:spacing w:val="-6"/>
          <w:sz w:val="21"/>
          <w:szCs w:val="21"/>
        </w:rPr>
        <w:t xml:space="preserve"> </w:t>
      </w:r>
      <w:r>
        <w:rPr>
          <w:sz w:val="21"/>
          <w:szCs w:val="21"/>
        </w:rPr>
        <w:t>1.1—2020《标准化工作导则</w:t>
      </w:r>
      <w:r>
        <w:rPr>
          <w:sz w:val="21"/>
          <w:szCs w:val="21"/>
        </w:rPr>
        <w:tab/>
      </w:r>
      <w:r>
        <w:rPr>
          <w:rFonts w:hint="eastAsia"/>
          <w:sz w:val="21"/>
          <w:szCs w:val="21"/>
          <w:lang w:val="en-US"/>
        </w:rPr>
        <w:t xml:space="preserve"> </w:t>
      </w:r>
      <w:r>
        <w:rPr>
          <w:sz w:val="21"/>
          <w:szCs w:val="21"/>
        </w:rPr>
        <w:t>第1部分：标准</w:t>
      </w:r>
      <w:r>
        <w:rPr>
          <w:rFonts w:hint="eastAsia"/>
          <w:sz w:val="21"/>
          <w:szCs w:val="21"/>
          <w:lang w:val="en-US"/>
        </w:rPr>
        <w:t>化文件</w:t>
      </w:r>
      <w:r>
        <w:rPr>
          <w:sz w:val="21"/>
          <w:szCs w:val="21"/>
        </w:rPr>
        <w:t>的结构和</w:t>
      </w:r>
      <w:r>
        <w:rPr>
          <w:rFonts w:hint="eastAsia"/>
          <w:sz w:val="21"/>
          <w:szCs w:val="21"/>
          <w:lang w:val="en-US"/>
        </w:rPr>
        <w:t>起草规则</w:t>
      </w:r>
      <w:r>
        <w:rPr>
          <w:sz w:val="21"/>
          <w:szCs w:val="21"/>
        </w:rPr>
        <w:t>》</w:t>
      </w:r>
      <w:r>
        <w:rPr>
          <w:rFonts w:hint="eastAsia"/>
          <w:sz w:val="21"/>
          <w:szCs w:val="21"/>
        </w:rPr>
        <w:t>的</w:t>
      </w:r>
      <w:r>
        <w:rPr>
          <w:rFonts w:hint="eastAsia"/>
          <w:sz w:val="21"/>
          <w:szCs w:val="21"/>
          <w:lang w:val="en-US"/>
        </w:rPr>
        <w:t>规定</w:t>
      </w:r>
      <w:r>
        <w:rPr>
          <w:sz w:val="21"/>
          <w:szCs w:val="21"/>
        </w:rPr>
        <w:t>起草。</w:t>
      </w:r>
    </w:p>
    <w:p>
      <w:pPr>
        <w:widowControl/>
        <w:tabs>
          <w:tab w:val="center" w:pos="4201"/>
          <w:tab w:val="right" w:leader="dot" w:pos="9298"/>
        </w:tabs>
        <w:ind w:firstLine="420" w:firstLineChars="200"/>
        <w:rPr>
          <w:sz w:val="21"/>
          <w:szCs w:val="21"/>
        </w:rPr>
      </w:pPr>
      <w:r>
        <w:rPr>
          <w:rFonts w:hint="eastAsia"/>
          <w:sz w:val="21"/>
          <w:szCs w:val="21"/>
        </w:rPr>
        <w:t>本文件代替</w:t>
      </w:r>
      <w:r>
        <w:rPr>
          <w:sz w:val="21"/>
          <w:szCs w:val="21"/>
        </w:rPr>
        <w:t xml:space="preserve">DB32/T </w:t>
      </w:r>
      <w:r>
        <w:rPr>
          <w:rFonts w:hint="eastAsia"/>
          <w:sz w:val="21"/>
          <w:szCs w:val="21"/>
          <w:lang w:eastAsia="zh-CN"/>
        </w:rPr>
        <w:t>393</w:t>
      </w:r>
      <w:r>
        <w:rPr>
          <w:rFonts w:hint="eastAsia"/>
          <w:sz w:val="21"/>
          <w:szCs w:val="21"/>
        </w:rPr>
        <w:t>—</w:t>
      </w:r>
      <w:r>
        <w:rPr>
          <w:sz w:val="21"/>
          <w:szCs w:val="21"/>
        </w:rPr>
        <w:t>2009</w:t>
      </w:r>
      <w:r>
        <w:rPr>
          <w:rFonts w:hint="eastAsia"/>
          <w:sz w:val="21"/>
          <w:szCs w:val="21"/>
        </w:rPr>
        <w:t>，与</w:t>
      </w:r>
      <w:r>
        <w:rPr>
          <w:sz w:val="21"/>
          <w:szCs w:val="21"/>
        </w:rPr>
        <w:t xml:space="preserve">DB32/T </w:t>
      </w:r>
      <w:r>
        <w:rPr>
          <w:rFonts w:hint="eastAsia"/>
          <w:sz w:val="21"/>
          <w:szCs w:val="21"/>
          <w:lang w:eastAsia="zh-CN"/>
        </w:rPr>
        <w:t>393</w:t>
      </w:r>
      <w:r>
        <w:rPr>
          <w:rFonts w:hint="eastAsia"/>
          <w:sz w:val="21"/>
          <w:szCs w:val="21"/>
        </w:rPr>
        <w:t>—</w:t>
      </w:r>
      <w:r>
        <w:rPr>
          <w:sz w:val="21"/>
          <w:szCs w:val="21"/>
        </w:rPr>
        <w:t>2009</w:t>
      </w:r>
      <w:r>
        <w:rPr>
          <w:rFonts w:hint="eastAsia"/>
          <w:sz w:val="21"/>
          <w:szCs w:val="21"/>
        </w:rPr>
        <w:t>相比，主要技术内容变化如下：</w:t>
      </w:r>
    </w:p>
    <w:p>
      <w:pPr>
        <w:keepNext w:val="0"/>
        <w:keepLines w:val="0"/>
        <w:pageBreakBefore w:val="0"/>
        <w:widowControl w:val="0"/>
        <w:kinsoku/>
        <w:wordWrap/>
        <w:overflowPunct/>
        <w:topLinePunct w:val="0"/>
        <w:autoSpaceDE w:val="0"/>
        <w:autoSpaceDN w:val="0"/>
        <w:bidi w:val="0"/>
        <w:adjustRightInd/>
        <w:snapToGrid/>
        <w:spacing w:before="77" w:line="219" w:lineRule="auto"/>
        <w:ind w:firstLine="404" w:firstLineChars="200"/>
        <w:textAlignment w:val="auto"/>
        <w:rPr>
          <w:rFonts w:ascii="宋体" w:hAnsi="宋体" w:eastAsia="宋体" w:cs="宋体"/>
          <w:sz w:val="21"/>
          <w:szCs w:val="21"/>
        </w:rPr>
      </w:pPr>
      <w:r>
        <w:rPr>
          <w:rFonts w:ascii="宋体" w:hAnsi="宋体" w:eastAsia="宋体" w:cs="宋体"/>
          <w:spacing w:val="-4"/>
          <w:sz w:val="21"/>
          <w:szCs w:val="21"/>
        </w:rPr>
        <w:t>——调整了部分无锡水蜜桃品种；</w:t>
      </w:r>
    </w:p>
    <w:p>
      <w:pPr>
        <w:keepNext w:val="0"/>
        <w:keepLines w:val="0"/>
        <w:pageBreakBefore w:val="0"/>
        <w:widowControl w:val="0"/>
        <w:kinsoku/>
        <w:wordWrap/>
        <w:overflowPunct/>
        <w:topLinePunct w:val="0"/>
        <w:autoSpaceDE w:val="0"/>
        <w:autoSpaceDN w:val="0"/>
        <w:bidi w:val="0"/>
        <w:adjustRightInd/>
        <w:snapToGrid/>
        <w:spacing w:before="50" w:line="329" w:lineRule="exact"/>
        <w:ind w:firstLine="412" w:firstLineChars="200"/>
        <w:textAlignment w:val="auto"/>
        <w:rPr>
          <w:rFonts w:ascii="宋体" w:hAnsi="宋体" w:eastAsia="宋体" w:cs="宋体"/>
          <w:sz w:val="21"/>
          <w:szCs w:val="21"/>
        </w:rPr>
      </w:pPr>
      <w:r>
        <w:rPr>
          <w:rFonts w:ascii="宋体" w:hAnsi="宋体" w:eastAsia="宋体" w:cs="宋体"/>
          <w:spacing w:val="-2"/>
          <w:position w:val="8"/>
          <w:sz w:val="21"/>
          <w:szCs w:val="21"/>
        </w:rPr>
        <w:t>——调整了部分水蜜桃品种的果重和可溶性固</w:t>
      </w:r>
      <w:r>
        <w:rPr>
          <w:rFonts w:ascii="宋体" w:hAnsi="宋体" w:eastAsia="宋体" w:cs="宋体"/>
          <w:spacing w:val="-3"/>
          <w:position w:val="8"/>
          <w:sz w:val="21"/>
          <w:szCs w:val="21"/>
        </w:rPr>
        <w:t>形物的分级标准。</w:t>
      </w:r>
    </w:p>
    <w:p>
      <w:pPr>
        <w:widowControl/>
        <w:tabs>
          <w:tab w:val="center" w:pos="4201"/>
          <w:tab w:val="right" w:leader="dot" w:pos="9298"/>
        </w:tabs>
        <w:ind w:firstLine="420" w:firstLineChars="200"/>
        <w:rPr>
          <w:sz w:val="21"/>
          <w:szCs w:val="21"/>
        </w:rPr>
      </w:pPr>
      <w:r>
        <w:rPr>
          <w:rFonts w:hint="eastAsia"/>
          <w:sz w:val="21"/>
          <w:szCs w:val="21"/>
        </w:rPr>
        <w:t>本文件由江苏省</w:t>
      </w:r>
      <w:r>
        <w:rPr>
          <w:rFonts w:hint="eastAsia"/>
          <w:sz w:val="21"/>
          <w:szCs w:val="21"/>
          <w:lang w:val="en-US"/>
        </w:rPr>
        <w:t>农业农村厅</w:t>
      </w:r>
      <w:r>
        <w:rPr>
          <w:rFonts w:hint="eastAsia"/>
          <w:sz w:val="21"/>
          <w:szCs w:val="21"/>
        </w:rPr>
        <w:t>提出。</w:t>
      </w:r>
    </w:p>
    <w:p>
      <w:pPr>
        <w:pStyle w:val="16"/>
        <w:rPr>
          <w:szCs w:val="21"/>
        </w:rPr>
      </w:pPr>
      <w:r>
        <w:rPr>
          <w:rFonts w:ascii="Times New Roman"/>
          <w:szCs w:val="21"/>
        </w:rPr>
        <w:t>本文件由</w:t>
      </w:r>
      <w:r>
        <w:rPr>
          <w:rFonts w:ascii="Times New Roman"/>
        </w:rPr>
        <w:t>江苏省园艺标准化技术委员会归口</w:t>
      </w:r>
      <w:r>
        <w:rPr>
          <w:rFonts w:ascii="Times New Roman"/>
          <w:szCs w:val="21"/>
        </w:rPr>
        <w:t>。</w:t>
      </w:r>
    </w:p>
    <w:p>
      <w:pPr>
        <w:widowControl/>
        <w:tabs>
          <w:tab w:val="center" w:pos="4201"/>
          <w:tab w:val="right" w:leader="dot" w:pos="9298"/>
        </w:tabs>
        <w:ind w:firstLine="420" w:firstLineChars="200"/>
        <w:rPr>
          <w:sz w:val="21"/>
          <w:szCs w:val="21"/>
        </w:rPr>
      </w:pPr>
      <w:r>
        <w:rPr>
          <w:rFonts w:hint="eastAsia"/>
          <w:sz w:val="21"/>
          <w:szCs w:val="21"/>
        </w:rPr>
        <w:t>本文件起草单位：无锡市惠山区阳山水蜜桃桃农协会。</w:t>
      </w:r>
    </w:p>
    <w:p>
      <w:pPr>
        <w:widowControl/>
        <w:tabs>
          <w:tab w:val="center" w:pos="4201"/>
          <w:tab w:val="right" w:leader="dot" w:pos="9298"/>
        </w:tabs>
        <w:ind w:firstLine="420" w:firstLineChars="200"/>
        <w:rPr>
          <w:sz w:val="21"/>
          <w:szCs w:val="21"/>
        </w:rPr>
      </w:pPr>
      <w:r>
        <w:rPr>
          <w:rFonts w:hint="eastAsia"/>
          <w:sz w:val="21"/>
          <w:szCs w:val="21"/>
        </w:rPr>
        <w:t>本文件主要起草人：</w:t>
      </w:r>
      <w:r>
        <w:rPr>
          <w:rFonts w:ascii="宋体" w:hAnsi="宋体" w:eastAsia="宋体" w:cs="宋体"/>
          <w:spacing w:val="-1"/>
          <w:sz w:val="21"/>
          <w:szCs w:val="21"/>
        </w:rPr>
        <w:t>王汝艳、沈静依、赵丽丽、许梅、万成东、赵逸人、金唯新、沈斐、高寒。</w:t>
      </w:r>
      <w:r>
        <w:rPr>
          <w:rFonts w:ascii="宋体" w:hAnsi="宋体" w:eastAsia="宋体" w:cs="宋体"/>
          <w:spacing w:val="1"/>
          <w:sz w:val="21"/>
          <w:szCs w:val="21"/>
        </w:rPr>
        <w:t xml:space="preserve"> </w:t>
      </w:r>
    </w:p>
    <w:p>
      <w:pPr>
        <w:widowControl/>
        <w:numPr>
          <w:ilvl w:val="0"/>
          <w:numId w:val="0"/>
        </w:numPr>
        <w:tabs>
          <w:tab w:val="center" w:pos="4201"/>
          <w:tab w:val="right" w:leader="dot" w:pos="9298"/>
        </w:tabs>
        <w:ind w:left="0" w:firstLine="420" w:firstLineChars="200"/>
        <w:rPr>
          <w:sz w:val="21"/>
          <w:szCs w:val="21"/>
        </w:rPr>
      </w:pPr>
      <w:r>
        <w:rPr>
          <w:rFonts w:hint="eastAsia"/>
          <w:sz w:val="21"/>
          <w:szCs w:val="21"/>
        </w:rPr>
        <w:t>本文件于2</w:t>
      </w:r>
      <w:r>
        <w:rPr>
          <w:sz w:val="21"/>
          <w:szCs w:val="21"/>
        </w:rPr>
        <w:t>000</w:t>
      </w:r>
      <w:r>
        <w:rPr>
          <w:rFonts w:hint="eastAsia"/>
          <w:sz w:val="21"/>
          <w:szCs w:val="21"/>
        </w:rPr>
        <w:t>年首次发布，2</w:t>
      </w:r>
      <w:r>
        <w:rPr>
          <w:sz w:val="21"/>
          <w:szCs w:val="21"/>
        </w:rPr>
        <w:t>009</w:t>
      </w:r>
      <w:r>
        <w:rPr>
          <w:rFonts w:hint="eastAsia"/>
          <w:sz w:val="21"/>
          <w:szCs w:val="21"/>
        </w:rPr>
        <w:t>年第一次修订，本次为第</w:t>
      </w:r>
      <w:r>
        <w:rPr>
          <w:rFonts w:hint="eastAsia"/>
          <w:sz w:val="21"/>
          <w:szCs w:val="21"/>
          <w:lang w:val="en-US" w:eastAsia="zh-CN"/>
        </w:rPr>
        <w:t>二</w:t>
      </w:r>
      <w:r>
        <w:rPr>
          <w:rFonts w:hint="eastAsia"/>
          <w:sz w:val="21"/>
          <w:szCs w:val="21"/>
        </w:rPr>
        <w:t>次修订。</w:t>
      </w:r>
    </w:p>
    <w:p>
      <w:pPr>
        <w:pStyle w:val="16"/>
        <w:ind w:firstLine="0" w:firstLineChars="0"/>
        <w:sectPr>
          <w:headerReference r:id="rId3" w:type="default"/>
          <w:footerReference r:id="rId4" w:type="default"/>
          <w:pgSz w:w="11906" w:h="16838"/>
          <w:pgMar w:top="567" w:right="1134" w:bottom="1134" w:left="1418" w:header="1418" w:footer="1134" w:gutter="0"/>
          <w:pgNumType w:fmt="upperRoman" w:start="1"/>
          <w:cols w:space="720" w:num="1"/>
          <w:formProt w:val="0"/>
          <w:docGrid w:type="lines" w:linePitch="312" w:charSpace="0"/>
        </w:sectPr>
      </w:pPr>
    </w:p>
    <w:p>
      <w:pPr>
        <w:pStyle w:val="17"/>
        <w:outlineLvl w:val="9"/>
      </w:pPr>
      <w:bookmarkStart w:id="20" w:name="_Toc11628"/>
      <w:r>
        <w:rPr>
          <w:rFonts w:hint="eastAsia"/>
        </w:rPr>
        <w:t>无</w:t>
      </w:r>
      <w:bookmarkStart w:id="21" w:name="StandardName"/>
      <w:r>
        <w:rPr>
          <w:rFonts w:hint="eastAsia"/>
        </w:rPr>
        <w:t>锡水蜜桃生产技术规程</w:t>
      </w:r>
      <w:bookmarkEnd w:id="20"/>
      <w:bookmarkEnd w:id="21"/>
    </w:p>
    <w:p>
      <w:pPr>
        <w:pStyle w:val="18"/>
        <w:spacing w:before="240" w:after="240"/>
        <w:outlineLvl w:val="0"/>
        <w:rPr>
          <w:szCs w:val="21"/>
        </w:rPr>
      </w:pPr>
      <w:bookmarkStart w:id="22" w:name="_Toc7006"/>
      <w:r>
        <w:rPr>
          <w:rFonts w:hint="eastAsia"/>
          <w:szCs w:val="21"/>
        </w:rPr>
        <w:t>范围</w:t>
      </w:r>
      <w:bookmarkEnd w:id="22"/>
    </w:p>
    <w:p>
      <w:pPr>
        <w:widowControl/>
        <w:tabs>
          <w:tab w:val="center" w:pos="4201"/>
          <w:tab w:val="right" w:leader="dot" w:pos="9298"/>
        </w:tabs>
        <w:ind w:firstLine="420" w:firstLineChars="200"/>
        <w:rPr>
          <w:sz w:val="21"/>
          <w:szCs w:val="21"/>
        </w:rPr>
      </w:pPr>
      <w:r>
        <w:rPr>
          <w:rFonts w:hint="eastAsia"/>
          <w:sz w:val="21"/>
          <w:szCs w:val="21"/>
        </w:rPr>
        <w:t xml:space="preserve">本标准规定了无锡水蜜桃果实的品质要求、检验方法、检验规则和标志、包装、运输、保管、存期。 </w:t>
      </w:r>
    </w:p>
    <w:p>
      <w:pPr>
        <w:widowControl/>
        <w:tabs>
          <w:tab w:val="center" w:pos="4201"/>
          <w:tab w:val="right" w:leader="dot" w:pos="9298"/>
        </w:tabs>
        <w:ind w:firstLine="420" w:firstLineChars="200"/>
        <w:rPr>
          <w:sz w:val="21"/>
          <w:szCs w:val="21"/>
        </w:rPr>
      </w:pPr>
      <w:r>
        <w:rPr>
          <w:rFonts w:hint="eastAsia"/>
          <w:sz w:val="21"/>
          <w:szCs w:val="21"/>
        </w:rPr>
        <w:t>本文件适用于无锡阳山、洛社、钱桥等地区无锡水蜜桃。</w:t>
      </w:r>
    </w:p>
    <w:p>
      <w:pPr>
        <w:widowControl/>
        <w:numPr>
          <w:ilvl w:val="0"/>
          <w:numId w:val="1"/>
        </w:numPr>
        <w:spacing w:before="240" w:beforeLines="100" w:after="240" w:afterLines="100"/>
        <w:outlineLvl w:val="0"/>
        <w:rPr>
          <w:rFonts w:ascii="黑体" w:eastAsia="黑体"/>
          <w:sz w:val="21"/>
          <w:szCs w:val="21"/>
        </w:rPr>
      </w:pPr>
      <w:bookmarkStart w:id="23" w:name="_Toc29075"/>
      <w:r>
        <w:rPr>
          <w:rFonts w:hint="eastAsia" w:ascii="黑体" w:eastAsia="黑体"/>
          <w:sz w:val="21"/>
          <w:szCs w:val="21"/>
        </w:rPr>
        <w:t>规范性引用文件</w:t>
      </w:r>
      <w:bookmarkEnd w:id="23"/>
    </w:p>
    <w:p>
      <w:pPr>
        <w:widowControl/>
        <w:tabs>
          <w:tab w:val="center" w:pos="4201"/>
          <w:tab w:val="right" w:leader="dot" w:pos="9298"/>
        </w:tabs>
        <w:ind w:firstLine="420" w:firstLineChars="200"/>
        <w:rPr>
          <w:sz w:val="21"/>
          <w:szCs w:val="21"/>
        </w:rPr>
      </w:pPr>
      <w:r>
        <w:rPr>
          <w:rFonts w:hint="eastAsia"/>
          <w:sz w:val="21"/>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pPr>
        <w:widowControl/>
        <w:tabs>
          <w:tab w:val="center" w:pos="4201"/>
          <w:tab w:val="right" w:leader="dot" w:pos="9298"/>
        </w:tabs>
        <w:ind w:firstLine="420" w:firstLineChars="200"/>
        <w:rPr>
          <w:rFonts w:hint="eastAsia"/>
          <w:sz w:val="21"/>
          <w:szCs w:val="21"/>
        </w:rPr>
      </w:pPr>
      <w:bookmarkStart w:id="27" w:name="_GoBack"/>
      <w:r>
        <w:rPr>
          <w:rFonts w:hint="eastAsia"/>
          <w:sz w:val="21"/>
          <w:szCs w:val="21"/>
        </w:rPr>
        <w:t>NY/T 424  绿色食品鲜桃</w:t>
      </w:r>
    </w:p>
    <w:p>
      <w:pPr>
        <w:widowControl/>
        <w:tabs>
          <w:tab w:val="center" w:pos="4201"/>
          <w:tab w:val="right" w:leader="dot" w:pos="9298"/>
        </w:tabs>
        <w:ind w:firstLine="420" w:firstLineChars="200"/>
        <w:rPr>
          <w:rFonts w:hint="eastAsia"/>
          <w:sz w:val="21"/>
          <w:szCs w:val="21"/>
        </w:rPr>
      </w:pPr>
      <w:r>
        <w:rPr>
          <w:rFonts w:hint="eastAsia"/>
          <w:sz w:val="21"/>
          <w:szCs w:val="21"/>
        </w:rPr>
        <w:t>NY/T 26372014  水果和蔬菜可溶性固形物含量的测定折射仪法</w:t>
      </w:r>
    </w:p>
    <w:bookmarkEnd w:id="27"/>
    <w:p>
      <w:pPr>
        <w:widowControl/>
        <w:numPr>
          <w:ilvl w:val="0"/>
          <w:numId w:val="1"/>
        </w:numPr>
        <w:spacing w:before="240" w:beforeLines="100" w:after="240" w:afterLines="100"/>
        <w:outlineLvl w:val="0"/>
        <w:rPr>
          <w:rFonts w:ascii="黑体"/>
          <w:sz w:val="21"/>
          <w:szCs w:val="21"/>
        </w:rPr>
      </w:pPr>
      <w:bookmarkStart w:id="24" w:name="_Toc31429"/>
      <w:r>
        <w:rPr>
          <w:rFonts w:hint="eastAsia" w:ascii="黑体" w:hAnsi="Times New Roman" w:eastAsia="黑体" w:cs="Times New Roman"/>
          <w:sz w:val="21"/>
          <w:szCs w:val="21"/>
        </w:rPr>
        <w:t>术语和定义</w:t>
      </w:r>
      <w:bookmarkEnd w:id="24"/>
    </w:p>
    <w:p>
      <w:pPr>
        <w:pStyle w:val="4"/>
        <w:spacing w:line="240" w:lineRule="auto"/>
        <w:ind w:left="0" w:right="0" w:firstLine="420"/>
        <w:rPr>
          <w:rFonts w:hint="eastAsia"/>
        </w:rPr>
      </w:pPr>
      <w:r>
        <w:rPr>
          <w:rFonts w:hint="eastAsia"/>
        </w:rPr>
        <w:t>本文件没有需要界定的术语和定义。</w:t>
      </w:r>
    </w:p>
    <w:p>
      <w:pPr>
        <w:widowControl/>
        <w:numPr>
          <w:ilvl w:val="0"/>
          <w:numId w:val="1"/>
        </w:numPr>
        <w:spacing w:before="240" w:beforeLines="100" w:after="240" w:afterLines="100"/>
        <w:outlineLvl w:val="0"/>
        <w:rPr>
          <w:rFonts w:ascii="黑体" w:eastAsia="黑体"/>
          <w:sz w:val="21"/>
          <w:szCs w:val="21"/>
        </w:rPr>
      </w:pPr>
      <w:r>
        <w:rPr>
          <w:rFonts w:hint="eastAsia" w:ascii="黑体" w:eastAsia="黑体"/>
          <w:sz w:val="21"/>
          <w:szCs w:val="21"/>
          <w:lang w:val="en-US" w:eastAsia="zh-CN"/>
        </w:rPr>
        <w:t>要求</w:t>
      </w:r>
    </w:p>
    <w:p>
      <w:pPr>
        <w:widowControl/>
        <w:numPr>
          <w:ilvl w:val="1"/>
          <w:numId w:val="1"/>
        </w:numPr>
        <w:spacing w:before="120" w:beforeLines="50" w:after="120" w:afterLines="50"/>
        <w:outlineLvl w:val="2"/>
        <w:rPr>
          <w:rFonts w:ascii="黑体" w:eastAsia="黑体"/>
          <w:sz w:val="21"/>
          <w:szCs w:val="21"/>
        </w:rPr>
      </w:pPr>
      <w:r>
        <w:rPr>
          <w:rFonts w:hint="eastAsia" w:ascii="黑体" w:eastAsia="黑体"/>
          <w:sz w:val="21"/>
          <w:szCs w:val="21"/>
          <w:lang w:val="en-US" w:eastAsia="zh-CN"/>
        </w:rPr>
        <w:t>外观</w:t>
      </w:r>
    </w:p>
    <w:p>
      <w:pPr>
        <w:spacing w:before="236" w:line="219" w:lineRule="auto"/>
        <w:ind w:left="429"/>
        <w:rPr>
          <w:rFonts w:ascii="宋体" w:hAnsi="宋体" w:eastAsia="宋体" w:cs="宋体"/>
          <w:sz w:val="21"/>
          <w:szCs w:val="21"/>
        </w:rPr>
      </w:pPr>
      <w:r>
        <w:rPr>
          <w:rFonts w:ascii="宋体" w:hAnsi="宋体" w:eastAsia="宋体" w:cs="宋体"/>
          <w:spacing w:val="-1"/>
          <w:sz w:val="21"/>
          <w:szCs w:val="21"/>
        </w:rPr>
        <w:t>桃果实外观等级应符合表1的规定，主要品种的等级单果重要求</w:t>
      </w:r>
      <w:r>
        <w:rPr>
          <w:rFonts w:ascii="宋体" w:hAnsi="宋体" w:eastAsia="宋体" w:cs="宋体"/>
          <w:spacing w:val="-2"/>
          <w:sz w:val="21"/>
          <w:szCs w:val="21"/>
        </w:rPr>
        <w:t>见附录</w:t>
      </w:r>
      <w:r>
        <w:rPr>
          <w:rFonts w:ascii="Times New Roman" w:hAnsi="Times New Roman" w:eastAsia="Times New Roman" w:cs="Times New Roman"/>
          <w:spacing w:val="-2"/>
          <w:sz w:val="21"/>
          <w:szCs w:val="21"/>
        </w:rPr>
        <w:t>A</w:t>
      </w:r>
      <w:r>
        <w:rPr>
          <w:rFonts w:ascii="宋体" w:hAnsi="宋体" w:eastAsia="宋体" w:cs="宋体"/>
          <w:spacing w:val="-2"/>
          <w:sz w:val="21"/>
          <w:szCs w:val="21"/>
        </w:rPr>
        <w:t>。</w:t>
      </w:r>
    </w:p>
    <w:p>
      <w:pPr>
        <w:widowControl/>
        <w:tabs>
          <w:tab w:val="center" w:pos="4201"/>
          <w:tab w:val="right" w:leader="dot" w:pos="9298"/>
        </w:tabs>
        <w:ind w:firstLine="440" w:firstLineChars="200"/>
      </w:pPr>
    </w:p>
    <w:p>
      <w:pPr>
        <w:pStyle w:val="4"/>
        <w:spacing w:before="207" w:line="221" w:lineRule="auto"/>
        <w:ind w:left="3712"/>
        <w:rPr>
          <w:sz w:val="21"/>
          <w:szCs w:val="21"/>
        </w:rPr>
      </w:pPr>
      <w:r>
        <w:rPr>
          <w:b/>
          <w:bCs/>
          <w:spacing w:val="-6"/>
          <w:sz w:val="21"/>
          <w:szCs w:val="21"/>
        </w:rPr>
        <w:t>表</w:t>
      </w:r>
      <w:r>
        <w:rPr>
          <w:spacing w:val="-6"/>
          <w:sz w:val="21"/>
          <w:szCs w:val="21"/>
        </w:rPr>
        <w:t xml:space="preserve"> </w:t>
      </w:r>
      <w:r>
        <w:rPr>
          <w:b/>
          <w:bCs/>
          <w:spacing w:val="-6"/>
          <w:sz w:val="21"/>
          <w:szCs w:val="21"/>
        </w:rPr>
        <w:t>1</w:t>
      </w:r>
      <w:r>
        <w:rPr>
          <w:spacing w:val="98"/>
          <w:sz w:val="21"/>
          <w:szCs w:val="21"/>
        </w:rPr>
        <w:t xml:space="preserve"> </w:t>
      </w:r>
      <w:r>
        <w:rPr>
          <w:b/>
          <w:bCs/>
          <w:spacing w:val="-6"/>
          <w:sz w:val="21"/>
          <w:szCs w:val="21"/>
        </w:rPr>
        <w:t>桃外观等级指标</w:t>
      </w:r>
    </w:p>
    <w:p>
      <w:pPr>
        <w:spacing w:before="28"/>
      </w:pPr>
    </w:p>
    <w:tbl>
      <w:tblPr>
        <w:tblStyle w:val="12"/>
        <w:tblW w:w="9521" w:type="dxa"/>
        <w:tblInd w:w="8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4"/>
        <w:gridCol w:w="839"/>
        <w:gridCol w:w="2307"/>
        <w:gridCol w:w="2188"/>
        <w:gridCol w:w="32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5" w:hRule="atLeast"/>
        </w:trPr>
        <w:tc>
          <w:tcPr>
            <w:tcW w:w="1783" w:type="dxa"/>
            <w:gridSpan w:val="2"/>
            <w:vAlign w:val="top"/>
          </w:tcPr>
          <w:p>
            <w:pPr>
              <w:pStyle w:val="39"/>
              <w:spacing w:before="92" w:line="219" w:lineRule="auto"/>
              <w:ind w:left="704"/>
            </w:pPr>
            <w:r>
              <w:rPr>
                <w:spacing w:val="-3"/>
              </w:rPr>
              <w:t>等级</w:t>
            </w:r>
          </w:p>
        </w:tc>
        <w:tc>
          <w:tcPr>
            <w:tcW w:w="2307" w:type="dxa"/>
            <w:vAlign w:val="top"/>
          </w:tcPr>
          <w:p>
            <w:pPr>
              <w:pStyle w:val="39"/>
              <w:spacing w:before="92" w:line="219" w:lineRule="auto"/>
              <w:ind w:left="961"/>
            </w:pPr>
            <w:r>
              <w:rPr>
                <w:spacing w:val="-2"/>
              </w:rPr>
              <w:t>特级</w:t>
            </w:r>
          </w:p>
        </w:tc>
        <w:tc>
          <w:tcPr>
            <w:tcW w:w="2188" w:type="dxa"/>
            <w:vAlign w:val="top"/>
          </w:tcPr>
          <w:p>
            <w:pPr>
              <w:pStyle w:val="39"/>
              <w:spacing w:before="94" w:line="221" w:lineRule="auto"/>
              <w:ind w:left="904"/>
            </w:pPr>
            <w:r>
              <w:rPr>
                <w:spacing w:val="10"/>
              </w:rPr>
              <w:t>一级</w:t>
            </w:r>
          </w:p>
        </w:tc>
        <w:tc>
          <w:tcPr>
            <w:tcW w:w="3243" w:type="dxa"/>
            <w:vAlign w:val="top"/>
          </w:tcPr>
          <w:p>
            <w:pPr>
              <w:pStyle w:val="39"/>
              <w:spacing w:before="94" w:line="221" w:lineRule="auto"/>
              <w:ind w:left="1436"/>
            </w:pPr>
            <w:r>
              <w:rPr>
                <w:spacing w:val="5"/>
              </w:rPr>
              <w:t>二级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trPr>
        <w:tc>
          <w:tcPr>
            <w:tcW w:w="1783" w:type="dxa"/>
            <w:gridSpan w:val="2"/>
            <w:vAlign w:val="top"/>
          </w:tcPr>
          <w:p>
            <w:pPr>
              <w:pStyle w:val="39"/>
              <w:spacing w:before="166" w:line="219" w:lineRule="auto"/>
              <w:ind w:left="525"/>
            </w:pPr>
            <w:r>
              <w:rPr>
                <w:spacing w:val="-2"/>
              </w:rPr>
              <w:t>基本要求</w:t>
            </w:r>
          </w:p>
        </w:tc>
        <w:tc>
          <w:tcPr>
            <w:tcW w:w="7738" w:type="dxa"/>
            <w:gridSpan w:val="3"/>
            <w:vAlign w:val="top"/>
          </w:tcPr>
          <w:p>
            <w:pPr>
              <w:pStyle w:val="39"/>
              <w:spacing w:before="46" w:line="232" w:lineRule="auto"/>
              <w:ind w:left="111" w:right="73" w:hanging="30"/>
            </w:pPr>
            <w:r>
              <w:t>各品种、各等级的鲜桃都必须完整良好、新鲜洁净，无不正常外来水分，无异嗅、异味，无虫害</w:t>
            </w:r>
            <w:r>
              <w:rPr>
                <w:spacing w:val="11"/>
              </w:rPr>
              <w:t xml:space="preserve"> </w:t>
            </w:r>
            <w:r>
              <w:t>精心手采，发育正常，具有适于市场或贮存要求的成熟</w:t>
            </w:r>
            <w:r>
              <w:rPr>
                <w:spacing w:val="-1"/>
              </w:rPr>
              <w:t>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 w:hRule="atLeast"/>
        </w:trPr>
        <w:tc>
          <w:tcPr>
            <w:tcW w:w="1783" w:type="dxa"/>
            <w:gridSpan w:val="2"/>
            <w:vAlign w:val="top"/>
          </w:tcPr>
          <w:p>
            <w:pPr>
              <w:pStyle w:val="39"/>
              <w:spacing w:before="89" w:line="220" w:lineRule="auto"/>
              <w:ind w:left="704"/>
            </w:pPr>
            <w:r>
              <w:rPr>
                <w:spacing w:val="-3"/>
              </w:rPr>
              <w:t>果形</w:t>
            </w:r>
          </w:p>
        </w:tc>
        <w:tc>
          <w:tcPr>
            <w:tcW w:w="2307" w:type="dxa"/>
            <w:vAlign w:val="top"/>
          </w:tcPr>
          <w:p>
            <w:pPr>
              <w:pStyle w:val="39"/>
              <w:spacing w:before="87" w:line="219" w:lineRule="auto"/>
              <w:ind w:left="241"/>
            </w:pPr>
            <w:r>
              <w:rPr>
                <w:spacing w:val="-1"/>
              </w:rPr>
              <w:t>具有本品种应有的特征</w:t>
            </w:r>
          </w:p>
        </w:tc>
        <w:tc>
          <w:tcPr>
            <w:tcW w:w="2188" w:type="dxa"/>
            <w:vAlign w:val="top"/>
          </w:tcPr>
          <w:p>
            <w:pPr>
              <w:pStyle w:val="39"/>
              <w:spacing w:before="87" w:line="219" w:lineRule="auto"/>
              <w:ind w:left="184"/>
            </w:pPr>
            <w:r>
              <w:rPr>
                <w:spacing w:val="-1"/>
              </w:rPr>
              <w:t>具有本品种的基本特征</w:t>
            </w:r>
          </w:p>
        </w:tc>
        <w:tc>
          <w:tcPr>
            <w:tcW w:w="3243" w:type="dxa"/>
            <w:vAlign w:val="top"/>
          </w:tcPr>
          <w:p>
            <w:pPr>
              <w:pStyle w:val="39"/>
              <w:spacing w:before="88" w:line="219" w:lineRule="auto"/>
              <w:ind w:left="537"/>
            </w:pPr>
            <w:r>
              <w:rPr>
                <w:spacing w:val="-1"/>
              </w:rPr>
              <w:t>稍有不正，但不得有畸形果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trPr>
        <w:tc>
          <w:tcPr>
            <w:tcW w:w="1783" w:type="dxa"/>
            <w:gridSpan w:val="2"/>
            <w:vAlign w:val="top"/>
          </w:tcPr>
          <w:p>
            <w:pPr>
              <w:pStyle w:val="39"/>
              <w:spacing w:before="170" w:line="220" w:lineRule="auto"/>
              <w:ind w:left="704"/>
            </w:pPr>
            <w:r>
              <w:rPr>
                <w:spacing w:val="-3"/>
              </w:rPr>
              <w:t>色泽</w:t>
            </w:r>
          </w:p>
        </w:tc>
        <w:tc>
          <w:tcPr>
            <w:tcW w:w="7738" w:type="dxa"/>
            <w:gridSpan w:val="3"/>
            <w:vAlign w:val="top"/>
          </w:tcPr>
          <w:p>
            <w:pPr>
              <w:pStyle w:val="39"/>
              <w:spacing w:before="29" w:line="241" w:lineRule="auto"/>
              <w:ind w:left="121" w:right="71" w:hanging="40"/>
            </w:pPr>
            <w:r>
              <w:t>具有本品种成熟时应有的色泽，套袋果底色为白色，彩色为粉红色，各主要品种的具体规定参照</w:t>
            </w:r>
            <w:r>
              <w:rPr>
                <w:spacing w:val="13"/>
              </w:rPr>
              <w:t xml:space="preserve"> </w:t>
            </w:r>
            <w:r>
              <w:rPr>
                <w:spacing w:val="5"/>
              </w:rPr>
              <w:t>附录[附录A]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44" w:type="dxa"/>
            <w:vMerge w:val="restart"/>
            <w:tcBorders>
              <w:bottom w:val="nil"/>
            </w:tcBorders>
            <w:vAlign w:val="top"/>
          </w:tcPr>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spacing w:line="241" w:lineRule="auto"/>
              <w:rPr>
                <w:rFonts w:ascii="Arial"/>
                <w:sz w:val="21"/>
              </w:rPr>
            </w:pPr>
          </w:p>
          <w:p>
            <w:pPr>
              <w:spacing w:line="241" w:lineRule="auto"/>
              <w:rPr>
                <w:rFonts w:ascii="Arial"/>
                <w:sz w:val="21"/>
              </w:rPr>
            </w:pPr>
          </w:p>
          <w:p>
            <w:pPr>
              <w:pStyle w:val="39"/>
              <w:spacing w:before="58" w:line="220" w:lineRule="auto"/>
              <w:ind w:left="114"/>
            </w:pPr>
            <w:r>
              <w:rPr>
                <w:spacing w:val="3"/>
              </w:rPr>
              <w:t>果面缺陷</w:t>
            </w:r>
          </w:p>
        </w:tc>
        <w:tc>
          <w:tcPr>
            <w:tcW w:w="839" w:type="dxa"/>
            <w:vAlign w:val="top"/>
          </w:tcPr>
          <w:p>
            <w:pPr>
              <w:pStyle w:val="39"/>
              <w:spacing w:before="80" w:line="219" w:lineRule="auto"/>
              <w:ind w:left="231"/>
            </w:pPr>
            <w:r>
              <w:rPr>
                <w:spacing w:val="-2"/>
              </w:rPr>
              <w:t>刺伤</w:t>
            </w:r>
          </w:p>
        </w:tc>
        <w:tc>
          <w:tcPr>
            <w:tcW w:w="7738" w:type="dxa"/>
            <w:gridSpan w:val="3"/>
            <w:vAlign w:val="top"/>
          </w:tcPr>
          <w:p>
            <w:pPr>
              <w:pStyle w:val="39"/>
              <w:spacing w:before="80" w:line="219" w:lineRule="auto"/>
              <w:ind w:left="3591"/>
            </w:pPr>
            <w:r>
              <w:rPr>
                <w:spacing w:val="-3"/>
              </w:rPr>
              <w:t>不允许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trPr>
        <w:tc>
          <w:tcPr>
            <w:tcW w:w="944" w:type="dxa"/>
            <w:vMerge w:val="continue"/>
            <w:tcBorders>
              <w:top w:val="nil"/>
              <w:bottom w:val="nil"/>
            </w:tcBorders>
            <w:vAlign w:val="top"/>
          </w:tcPr>
          <w:p>
            <w:pPr>
              <w:rPr>
                <w:rFonts w:ascii="Arial"/>
                <w:sz w:val="21"/>
              </w:rPr>
            </w:pPr>
          </w:p>
        </w:tc>
        <w:tc>
          <w:tcPr>
            <w:tcW w:w="839" w:type="dxa"/>
            <w:vAlign w:val="top"/>
          </w:tcPr>
          <w:p>
            <w:pPr>
              <w:pStyle w:val="39"/>
              <w:spacing w:before="170" w:line="219" w:lineRule="auto"/>
              <w:ind w:left="140"/>
            </w:pPr>
            <w:r>
              <w:rPr>
                <w:spacing w:val="-2"/>
              </w:rPr>
              <w:t>碰压伤</w:t>
            </w:r>
          </w:p>
        </w:tc>
        <w:tc>
          <w:tcPr>
            <w:tcW w:w="4495" w:type="dxa"/>
            <w:gridSpan w:val="2"/>
            <w:vAlign w:val="top"/>
          </w:tcPr>
          <w:p>
            <w:pPr>
              <w:pStyle w:val="39"/>
              <w:spacing w:before="290" w:line="214" w:lineRule="auto"/>
              <w:ind w:left="1992"/>
            </w:pPr>
            <w:r>
              <w:rPr>
                <w:spacing w:val="-3"/>
              </w:rPr>
              <w:t>不允许</w:t>
            </w:r>
          </w:p>
        </w:tc>
        <w:tc>
          <w:tcPr>
            <w:tcW w:w="3243" w:type="dxa"/>
            <w:vAlign w:val="top"/>
          </w:tcPr>
          <w:p>
            <w:pPr>
              <w:pStyle w:val="39"/>
              <w:spacing w:before="50" w:line="219" w:lineRule="auto"/>
              <w:ind w:left="446"/>
            </w:pPr>
            <w:r>
              <w:t>允许轻微碰压伤总面积不超过</w:t>
            </w:r>
          </w:p>
          <w:p>
            <w:pPr>
              <w:pStyle w:val="39"/>
              <w:spacing w:before="26" w:line="214" w:lineRule="auto"/>
              <w:ind w:left="127"/>
            </w:pPr>
            <w:r>
              <w:rPr>
                <w:spacing w:val="5"/>
              </w:rPr>
              <w:t>1.0</w:t>
            </w:r>
            <w:r>
              <w:t>cm</w:t>
            </w:r>
            <w:r>
              <w:rPr>
                <w:spacing w:val="5"/>
              </w:rPr>
              <w:t>²伤，处不得褐变对果肉无伤害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944" w:type="dxa"/>
            <w:vMerge w:val="continue"/>
            <w:tcBorders>
              <w:top w:val="nil"/>
              <w:bottom w:val="nil"/>
            </w:tcBorders>
            <w:vAlign w:val="top"/>
          </w:tcPr>
          <w:p>
            <w:pPr>
              <w:rPr>
                <w:rFonts w:ascii="Arial"/>
                <w:sz w:val="21"/>
              </w:rPr>
            </w:pPr>
          </w:p>
        </w:tc>
        <w:tc>
          <w:tcPr>
            <w:tcW w:w="839" w:type="dxa"/>
            <w:vAlign w:val="top"/>
          </w:tcPr>
          <w:p>
            <w:pPr>
              <w:pStyle w:val="39"/>
              <w:spacing w:before="171" w:line="219" w:lineRule="auto"/>
              <w:ind w:left="231"/>
            </w:pPr>
            <w:r>
              <w:rPr>
                <w:spacing w:val="-3"/>
              </w:rPr>
              <w:t>磨伤</w:t>
            </w:r>
          </w:p>
        </w:tc>
        <w:tc>
          <w:tcPr>
            <w:tcW w:w="2307" w:type="dxa"/>
            <w:vAlign w:val="top"/>
          </w:tcPr>
          <w:p>
            <w:pPr>
              <w:pStyle w:val="39"/>
              <w:spacing w:before="171" w:line="219" w:lineRule="auto"/>
              <w:ind w:left="871"/>
            </w:pPr>
            <w:r>
              <w:rPr>
                <w:spacing w:val="-3"/>
              </w:rPr>
              <w:t>不允许</w:t>
            </w:r>
          </w:p>
        </w:tc>
        <w:tc>
          <w:tcPr>
            <w:tcW w:w="2188" w:type="dxa"/>
            <w:vAlign w:val="top"/>
          </w:tcPr>
          <w:p>
            <w:pPr>
              <w:pStyle w:val="39"/>
              <w:spacing w:before="51" w:line="234" w:lineRule="auto"/>
              <w:ind w:left="633" w:right="93" w:hanging="539"/>
            </w:pPr>
            <w:r>
              <w:t>允许轻微磨伤一处面积不</w:t>
            </w:r>
            <w:r>
              <w:rPr>
                <w:spacing w:val="8"/>
              </w:rPr>
              <w:t xml:space="preserve"> </w:t>
            </w:r>
            <w:r>
              <w:rPr>
                <w:spacing w:val="-2"/>
              </w:rPr>
              <w:t>超过0.5</w:t>
            </w:r>
            <w:r>
              <w:rPr>
                <w:spacing w:val="12"/>
              </w:rPr>
              <w:t xml:space="preserve"> </w:t>
            </w:r>
            <w:r>
              <w:rPr>
                <w:spacing w:val="-2"/>
              </w:rPr>
              <w:t>cm</w:t>
            </w:r>
          </w:p>
        </w:tc>
        <w:tc>
          <w:tcPr>
            <w:tcW w:w="3243" w:type="dxa"/>
            <w:vAlign w:val="top"/>
          </w:tcPr>
          <w:p>
            <w:pPr>
              <w:pStyle w:val="39"/>
              <w:spacing w:before="50" w:line="235" w:lineRule="auto"/>
              <w:ind w:left="1166" w:right="165" w:hanging="990"/>
            </w:pPr>
            <w:r>
              <w:t>允许轻微不褐变的磨伤二处总面积不</w:t>
            </w:r>
            <w:r>
              <w:rPr>
                <w:spacing w:val="9"/>
              </w:rPr>
              <w:t xml:space="preserve"> </w:t>
            </w:r>
            <w:r>
              <w:rPr>
                <w:spacing w:val="-2"/>
              </w:rPr>
              <w:t>超过1.0</w:t>
            </w:r>
            <w:r>
              <w:rPr>
                <w:spacing w:val="12"/>
              </w:rPr>
              <w:t xml:space="preserve"> </w:t>
            </w:r>
            <w:r>
              <w:rPr>
                <w:spacing w:val="-2"/>
              </w:rPr>
              <w:t>cm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trPr>
        <w:tc>
          <w:tcPr>
            <w:tcW w:w="944" w:type="dxa"/>
            <w:vMerge w:val="continue"/>
            <w:tcBorders>
              <w:top w:val="nil"/>
              <w:bottom w:val="nil"/>
            </w:tcBorders>
            <w:vAlign w:val="top"/>
          </w:tcPr>
          <w:p>
            <w:pPr>
              <w:rPr>
                <w:rFonts w:ascii="Arial"/>
                <w:sz w:val="21"/>
              </w:rPr>
            </w:pPr>
          </w:p>
        </w:tc>
        <w:tc>
          <w:tcPr>
            <w:tcW w:w="839" w:type="dxa"/>
            <w:vAlign w:val="top"/>
          </w:tcPr>
          <w:p>
            <w:pPr>
              <w:pStyle w:val="39"/>
              <w:spacing w:before="172" w:line="219" w:lineRule="auto"/>
              <w:ind w:left="231"/>
            </w:pPr>
            <w:r>
              <w:rPr>
                <w:spacing w:val="-3"/>
              </w:rPr>
              <w:t>雹伤</w:t>
            </w:r>
          </w:p>
        </w:tc>
        <w:tc>
          <w:tcPr>
            <w:tcW w:w="2307" w:type="dxa"/>
            <w:vAlign w:val="top"/>
          </w:tcPr>
          <w:p>
            <w:pPr>
              <w:pStyle w:val="39"/>
              <w:spacing w:before="172" w:line="219" w:lineRule="auto"/>
              <w:ind w:left="871"/>
            </w:pPr>
            <w:r>
              <w:rPr>
                <w:spacing w:val="-3"/>
              </w:rPr>
              <w:t>不允许</w:t>
            </w:r>
          </w:p>
        </w:tc>
        <w:tc>
          <w:tcPr>
            <w:tcW w:w="2188" w:type="dxa"/>
            <w:vAlign w:val="top"/>
          </w:tcPr>
          <w:p>
            <w:pPr>
              <w:pStyle w:val="39"/>
              <w:spacing w:before="52" w:line="229" w:lineRule="auto"/>
              <w:ind w:left="544" w:right="93" w:hanging="450"/>
            </w:pPr>
            <w:r>
              <w:t>允许轻微雹伤一处面积不</w:t>
            </w:r>
            <w:r>
              <w:rPr>
                <w:spacing w:val="8"/>
              </w:rPr>
              <w:t xml:space="preserve"> </w:t>
            </w:r>
            <w:r>
              <w:rPr>
                <w:spacing w:val="14"/>
              </w:rPr>
              <w:t>超过0.4</w:t>
            </w:r>
            <w:r>
              <w:rPr>
                <w:spacing w:val="44"/>
              </w:rPr>
              <w:t xml:space="preserve"> </w:t>
            </w:r>
            <w:r>
              <w:t>cm</w:t>
            </w:r>
            <w:r>
              <w:rPr>
                <w:spacing w:val="14"/>
              </w:rPr>
              <w:t>²</w:t>
            </w:r>
          </w:p>
        </w:tc>
        <w:tc>
          <w:tcPr>
            <w:tcW w:w="3243" w:type="dxa"/>
            <w:vAlign w:val="top"/>
          </w:tcPr>
          <w:p>
            <w:pPr>
              <w:pStyle w:val="39"/>
              <w:spacing w:before="52" w:line="229" w:lineRule="auto"/>
              <w:ind w:left="1257" w:right="259" w:hanging="990"/>
            </w:pPr>
            <w:r>
              <w:t>允许轻微雹伤二处，总面积不超过</w:t>
            </w:r>
            <w:r>
              <w:rPr>
                <w:spacing w:val="5"/>
              </w:rPr>
              <w:t xml:space="preserve"> </w:t>
            </w:r>
            <w:r>
              <w:rPr>
                <w:spacing w:val="-3"/>
              </w:rPr>
              <w:t>0.8</w:t>
            </w:r>
            <w:r>
              <w:rPr>
                <w:spacing w:val="29"/>
                <w:w w:val="101"/>
              </w:rPr>
              <w:t xml:space="preserve">  </w:t>
            </w:r>
            <w:r>
              <w:rPr>
                <w:spacing w:val="-3"/>
              </w:rPr>
              <w:t>cm²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trPr>
        <w:tc>
          <w:tcPr>
            <w:tcW w:w="944" w:type="dxa"/>
            <w:vMerge w:val="continue"/>
            <w:tcBorders>
              <w:top w:val="nil"/>
              <w:bottom w:val="nil"/>
            </w:tcBorders>
            <w:vAlign w:val="top"/>
          </w:tcPr>
          <w:p>
            <w:pPr>
              <w:rPr>
                <w:rFonts w:ascii="Arial"/>
                <w:sz w:val="21"/>
              </w:rPr>
            </w:pPr>
          </w:p>
        </w:tc>
        <w:tc>
          <w:tcPr>
            <w:tcW w:w="839" w:type="dxa"/>
            <w:vAlign w:val="top"/>
          </w:tcPr>
          <w:p>
            <w:pPr>
              <w:pStyle w:val="39"/>
              <w:spacing w:before="173" w:line="220" w:lineRule="auto"/>
              <w:ind w:left="231"/>
            </w:pPr>
            <w:r>
              <w:rPr>
                <w:spacing w:val="-2"/>
              </w:rPr>
              <w:t>裂果</w:t>
            </w:r>
          </w:p>
        </w:tc>
        <w:tc>
          <w:tcPr>
            <w:tcW w:w="2307" w:type="dxa"/>
            <w:vAlign w:val="top"/>
          </w:tcPr>
          <w:p>
            <w:pPr>
              <w:pStyle w:val="39"/>
              <w:spacing w:before="173" w:line="219" w:lineRule="auto"/>
              <w:ind w:left="871"/>
            </w:pPr>
            <w:r>
              <w:rPr>
                <w:spacing w:val="-3"/>
              </w:rPr>
              <w:t>不允许</w:t>
            </w:r>
          </w:p>
        </w:tc>
        <w:tc>
          <w:tcPr>
            <w:tcW w:w="2188" w:type="dxa"/>
            <w:vAlign w:val="top"/>
          </w:tcPr>
          <w:p>
            <w:pPr>
              <w:pStyle w:val="39"/>
              <w:spacing w:before="73" w:line="218" w:lineRule="auto"/>
              <w:ind w:left="274" w:right="95" w:hanging="180"/>
            </w:pPr>
            <w:r>
              <w:t>允许裂口一处长度不超过</w:t>
            </w:r>
            <w:r>
              <w:rPr>
                <w:spacing w:val="6"/>
              </w:rPr>
              <w:t xml:space="preserve"> </w:t>
            </w:r>
            <w:r>
              <w:rPr>
                <w:spacing w:val="-1"/>
              </w:rPr>
              <w:t>0.5cm宽不超过0.3cm</w:t>
            </w:r>
          </w:p>
        </w:tc>
        <w:tc>
          <w:tcPr>
            <w:tcW w:w="3243" w:type="dxa"/>
            <w:vAlign w:val="top"/>
          </w:tcPr>
          <w:p>
            <w:pPr>
              <w:pStyle w:val="39"/>
              <w:spacing w:before="61" w:line="216" w:lineRule="auto"/>
              <w:jc w:val="right"/>
            </w:pPr>
            <w:r>
              <w:rPr>
                <w:spacing w:val="-1"/>
              </w:rPr>
              <w:t>允许裂口二处，总长度不超过1.0cm,</w:t>
            </w:r>
            <w:r>
              <w:rPr>
                <w:spacing w:val="-2"/>
              </w:rPr>
              <w:t xml:space="preserve">  总</w:t>
            </w:r>
          </w:p>
          <w:p>
            <w:pPr>
              <w:pStyle w:val="39"/>
              <w:spacing w:before="42" w:line="190" w:lineRule="auto"/>
              <w:ind w:left="1026"/>
            </w:pPr>
            <w:r>
              <w:rPr>
                <w:spacing w:val="-2"/>
              </w:rPr>
              <w:t>宽不超过0.5cm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 w:hRule="atLeast"/>
        </w:trPr>
        <w:tc>
          <w:tcPr>
            <w:tcW w:w="944" w:type="dxa"/>
            <w:vMerge w:val="continue"/>
            <w:tcBorders>
              <w:top w:val="nil"/>
              <w:bottom w:val="nil"/>
            </w:tcBorders>
            <w:vAlign w:val="top"/>
          </w:tcPr>
          <w:p>
            <w:pPr>
              <w:rPr>
                <w:rFonts w:ascii="Arial"/>
                <w:sz w:val="21"/>
              </w:rPr>
            </w:pPr>
          </w:p>
        </w:tc>
        <w:tc>
          <w:tcPr>
            <w:tcW w:w="839" w:type="dxa"/>
            <w:vAlign w:val="top"/>
          </w:tcPr>
          <w:p>
            <w:pPr>
              <w:pStyle w:val="39"/>
              <w:spacing w:before="94" w:line="220" w:lineRule="auto"/>
              <w:ind w:left="231"/>
            </w:pPr>
            <w:r>
              <w:rPr>
                <w:spacing w:val="-2"/>
              </w:rPr>
              <w:t>病害</w:t>
            </w:r>
          </w:p>
        </w:tc>
        <w:tc>
          <w:tcPr>
            <w:tcW w:w="7738" w:type="dxa"/>
            <w:gridSpan w:val="3"/>
            <w:vAlign w:val="top"/>
          </w:tcPr>
          <w:p>
            <w:pPr>
              <w:pStyle w:val="39"/>
              <w:spacing w:before="94" w:line="220" w:lineRule="auto"/>
              <w:ind w:left="3771"/>
            </w:pPr>
            <w: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944" w:type="dxa"/>
            <w:vMerge w:val="continue"/>
            <w:tcBorders>
              <w:top w:val="nil"/>
              <w:bottom w:val="nil"/>
            </w:tcBorders>
            <w:vAlign w:val="top"/>
          </w:tcPr>
          <w:p>
            <w:pPr>
              <w:rPr>
                <w:rFonts w:ascii="Arial"/>
                <w:sz w:val="21"/>
              </w:rPr>
            </w:pPr>
          </w:p>
        </w:tc>
        <w:tc>
          <w:tcPr>
            <w:tcW w:w="839" w:type="dxa"/>
            <w:vAlign w:val="top"/>
          </w:tcPr>
          <w:p>
            <w:pPr>
              <w:pStyle w:val="39"/>
              <w:spacing w:before="186" w:line="220" w:lineRule="auto"/>
              <w:ind w:left="231"/>
            </w:pPr>
            <w:r>
              <w:rPr>
                <w:spacing w:val="5"/>
              </w:rPr>
              <w:t>虫害</w:t>
            </w:r>
          </w:p>
        </w:tc>
        <w:tc>
          <w:tcPr>
            <w:tcW w:w="2307" w:type="dxa"/>
            <w:vAlign w:val="top"/>
          </w:tcPr>
          <w:p>
            <w:pPr>
              <w:pStyle w:val="39"/>
              <w:spacing w:before="186" w:line="220" w:lineRule="auto"/>
              <w:ind w:left="1052"/>
            </w:pPr>
            <w:r>
              <w:t>无</w:t>
            </w:r>
          </w:p>
        </w:tc>
        <w:tc>
          <w:tcPr>
            <w:tcW w:w="2188" w:type="dxa"/>
            <w:vAlign w:val="top"/>
          </w:tcPr>
          <w:p>
            <w:pPr>
              <w:pStyle w:val="39"/>
              <w:spacing w:before="55" w:line="234" w:lineRule="auto"/>
              <w:ind w:left="593" w:right="93" w:hanging="499"/>
            </w:pPr>
            <w:r>
              <w:t>允许轻微虫伤一处面积不</w:t>
            </w:r>
            <w:r>
              <w:rPr>
                <w:spacing w:val="8"/>
              </w:rPr>
              <w:t xml:space="preserve"> </w:t>
            </w:r>
            <w:r>
              <w:rPr>
                <w:spacing w:val="-2"/>
              </w:rPr>
              <w:t>超过0.03</w:t>
            </w:r>
            <w:r>
              <w:rPr>
                <w:spacing w:val="14"/>
              </w:rPr>
              <w:t xml:space="preserve"> </w:t>
            </w:r>
            <w:r>
              <w:rPr>
                <w:spacing w:val="-2"/>
              </w:rPr>
              <w:t>cm</w:t>
            </w:r>
          </w:p>
        </w:tc>
        <w:tc>
          <w:tcPr>
            <w:tcW w:w="3243" w:type="dxa"/>
            <w:vAlign w:val="top"/>
          </w:tcPr>
          <w:p>
            <w:pPr>
              <w:pStyle w:val="39"/>
              <w:spacing w:before="74" w:line="228" w:lineRule="auto"/>
              <w:ind w:left="1257" w:right="259" w:hanging="990"/>
            </w:pPr>
            <w:r>
              <w:t>允许轻微虫伤二处，总面积不超过</w:t>
            </w:r>
            <w:r>
              <w:rPr>
                <w:spacing w:val="5"/>
              </w:rPr>
              <w:t xml:space="preserve"> </w:t>
            </w:r>
            <w:r>
              <w:rPr>
                <w:spacing w:val="-3"/>
              </w:rPr>
              <w:t>0.2</w:t>
            </w:r>
            <w:r>
              <w:rPr>
                <w:spacing w:val="29"/>
                <w:w w:val="101"/>
              </w:rPr>
              <w:t xml:space="preserve">  </w:t>
            </w:r>
            <w:r>
              <w:rPr>
                <w:spacing w:val="-3"/>
              </w:rPr>
              <w:t>cm²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 w:hRule="atLeast"/>
        </w:trPr>
        <w:tc>
          <w:tcPr>
            <w:tcW w:w="944" w:type="dxa"/>
            <w:vMerge w:val="continue"/>
            <w:tcBorders>
              <w:top w:val="nil"/>
            </w:tcBorders>
            <w:vAlign w:val="top"/>
          </w:tcPr>
          <w:p>
            <w:pPr>
              <w:rPr>
                <w:rFonts w:ascii="Arial"/>
                <w:sz w:val="21"/>
              </w:rPr>
            </w:pPr>
          </w:p>
        </w:tc>
        <w:tc>
          <w:tcPr>
            <w:tcW w:w="839" w:type="dxa"/>
            <w:vAlign w:val="top"/>
          </w:tcPr>
          <w:p>
            <w:pPr>
              <w:pStyle w:val="39"/>
              <w:spacing w:before="96" w:line="220" w:lineRule="auto"/>
              <w:ind w:left="231"/>
            </w:pPr>
            <w:r>
              <w:rPr>
                <w:spacing w:val="5"/>
              </w:rPr>
              <w:t>虫果</w:t>
            </w:r>
          </w:p>
        </w:tc>
        <w:tc>
          <w:tcPr>
            <w:tcW w:w="7738" w:type="dxa"/>
            <w:gridSpan w:val="3"/>
            <w:vAlign w:val="top"/>
          </w:tcPr>
          <w:p>
            <w:pPr>
              <w:pStyle w:val="39"/>
              <w:spacing w:before="96" w:line="219" w:lineRule="auto"/>
              <w:ind w:left="3591"/>
            </w:pPr>
            <w:r>
              <w:rPr>
                <w:spacing w:val="-3"/>
              </w:rPr>
              <w:t>不允许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4" w:hRule="atLeast"/>
        </w:trPr>
        <w:tc>
          <w:tcPr>
            <w:tcW w:w="9521" w:type="dxa"/>
            <w:gridSpan w:val="5"/>
            <w:vAlign w:val="top"/>
          </w:tcPr>
          <w:p>
            <w:pPr>
              <w:pStyle w:val="39"/>
              <w:spacing w:before="97" w:line="219" w:lineRule="auto"/>
              <w:ind w:left="114"/>
            </w:pPr>
            <w:r>
              <w:rPr>
                <w:spacing w:val="2"/>
              </w:rPr>
              <w:t>注：刺伤(包括破皮伤、破皮新雹伤)</w:t>
            </w:r>
          </w:p>
        </w:tc>
      </w:tr>
    </w:tbl>
    <w:p>
      <w:pPr>
        <w:pStyle w:val="16"/>
      </w:pPr>
    </w:p>
    <w:p>
      <w:pPr>
        <w:widowControl/>
        <w:numPr>
          <w:ilvl w:val="1"/>
          <w:numId w:val="1"/>
        </w:numPr>
        <w:spacing w:before="120" w:beforeLines="50" w:after="120" w:afterLines="50"/>
        <w:outlineLvl w:val="2"/>
        <w:rPr>
          <w:rFonts w:ascii="黑体" w:eastAsia="黑体"/>
          <w:sz w:val="21"/>
          <w:szCs w:val="21"/>
        </w:rPr>
      </w:pPr>
      <w:r>
        <w:rPr>
          <w:rFonts w:hint="eastAsia" w:ascii="黑体" w:eastAsia="黑体"/>
          <w:sz w:val="21"/>
          <w:szCs w:val="21"/>
          <w:lang w:val="en-US" w:eastAsia="zh-CN"/>
        </w:rPr>
        <w:t>理化</w:t>
      </w:r>
      <w:r>
        <w:rPr>
          <w:rFonts w:hint="eastAsia" w:ascii="黑体" w:eastAsia="黑体"/>
          <w:sz w:val="21"/>
          <w:szCs w:val="21"/>
        </w:rPr>
        <w:t>指标</w:t>
      </w:r>
    </w:p>
    <w:p>
      <w:pPr>
        <w:widowControl/>
        <w:numPr>
          <w:ilvl w:val="0"/>
          <w:numId w:val="0"/>
        </w:numPr>
        <w:tabs>
          <w:tab w:val="center" w:pos="4201"/>
          <w:tab w:val="right" w:leader="dot" w:pos="9298"/>
        </w:tabs>
        <w:ind w:left="0" w:firstLine="420" w:firstLineChars="200"/>
        <w:rPr>
          <w:rFonts w:hint="eastAsia"/>
          <w:sz w:val="21"/>
          <w:szCs w:val="21"/>
          <w:lang w:val="en-US"/>
        </w:rPr>
      </w:pPr>
      <w:r>
        <w:rPr>
          <w:rFonts w:hint="eastAsia"/>
          <w:sz w:val="21"/>
          <w:szCs w:val="21"/>
          <w:lang w:val="en-US"/>
        </w:rPr>
        <w:t>可溶性固形物含量。具体指标见附录A。</w:t>
      </w:r>
    </w:p>
    <w:p>
      <w:pPr>
        <w:widowControl/>
        <w:numPr>
          <w:ilvl w:val="1"/>
          <w:numId w:val="1"/>
        </w:numPr>
        <w:spacing w:before="120" w:beforeLines="50" w:after="120" w:afterLines="50"/>
        <w:outlineLvl w:val="2"/>
        <w:rPr>
          <w:rFonts w:ascii="黑体" w:eastAsia="黑体"/>
          <w:sz w:val="21"/>
          <w:szCs w:val="21"/>
        </w:rPr>
      </w:pPr>
      <w:r>
        <w:rPr>
          <w:rFonts w:hint="eastAsia" w:ascii="黑体" w:eastAsia="黑体"/>
          <w:sz w:val="21"/>
          <w:szCs w:val="21"/>
          <w:lang w:val="en-US" w:eastAsia="zh-CN"/>
        </w:rPr>
        <w:t>卫生</w:t>
      </w:r>
      <w:r>
        <w:rPr>
          <w:rFonts w:hint="eastAsia" w:ascii="黑体" w:eastAsia="黑体"/>
          <w:sz w:val="21"/>
          <w:szCs w:val="21"/>
        </w:rPr>
        <w:t>指标</w:t>
      </w:r>
    </w:p>
    <w:p>
      <w:pPr>
        <w:widowControl/>
        <w:numPr>
          <w:ilvl w:val="0"/>
          <w:numId w:val="0"/>
        </w:numPr>
        <w:tabs>
          <w:tab w:val="center" w:pos="4201"/>
          <w:tab w:val="right" w:leader="dot" w:pos="9298"/>
        </w:tabs>
        <w:ind w:left="0" w:firstLine="420" w:firstLineChars="200"/>
        <w:rPr>
          <w:rFonts w:hint="eastAsia"/>
          <w:sz w:val="21"/>
          <w:szCs w:val="21"/>
          <w:lang w:val="en-US"/>
        </w:rPr>
      </w:pPr>
      <w:r>
        <w:rPr>
          <w:rFonts w:hint="eastAsia"/>
          <w:sz w:val="21"/>
          <w:szCs w:val="21"/>
          <w:lang w:val="en-US"/>
        </w:rPr>
        <w:t>应符合NY/T 424要求。</w:t>
      </w:r>
    </w:p>
    <w:p>
      <w:pPr>
        <w:widowControl/>
        <w:numPr>
          <w:ilvl w:val="0"/>
          <w:numId w:val="1"/>
        </w:numPr>
        <w:spacing w:before="240" w:beforeLines="100" w:after="240" w:afterLines="100"/>
        <w:outlineLvl w:val="0"/>
        <w:rPr>
          <w:rFonts w:ascii="黑体" w:eastAsia="黑体"/>
          <w:sz w:val="21"/>
          <w:szCs w:val="21"/>
        </w:rPr>
      </w:pPr>
      <w:r>
        <w:rPr>
          <w:rFonts w:hint="eastAsia" w:ascii="黑体" w:eastAsia="黑体"/>
          <w:sz w:val="21"/>
          <w:szCs w:val="21"/>
          <w:lang w:val="en-US" w:eastAsia="zh-CN"/>
        </w:rPr>
        <w:t>检验方法</w:t>
      </w:r>
    </w:p>
    <w:p>
      <w:pPr>
        <w:widowControl/>
        <w:numPr>
          <w:ilvl w:val="1"/>
          <w:numId w:val="1"/>
        </w:numPr>
        <w:spacing w:before="120" w:beforeLines="50" w:after="120" w:afterLines="50"/>
        <w:outlineLvl w:val="2"/>
        <w:rPr>
          <w:rFonts w:ascii="黑体" w:eastAsia="黑体"/>
          <w:sz w:val="21"/>
          <w:szCs w:val="21"/>
        </w:rPr>
      </w:pPr>
      <w:r>
        <w:rPr>
          <w:rFonts w:hint="eastAsia" w:ascii="黑体" w:eastAsia="黑体"/>
          <w:sz w:val="21"/>
          <w:szCs w:val="21"/>
          <w:lang w:val="en-US" w:eastAsia="zh-CN"/>
        </w:rPr>
        <w:t>感官检验</w:t>
      </w:r>
      <w:r>
        <w:rPr>
          <w:rFonts w:ascii="黑体" w:eastAsia="黑体"/>
          <w:sz w:val="21"/>
          <w:szCs w:val="21"/>
        </w:rPr>
        <w:t xml:space="preserve">   </w:t>
      </w:r>
    </w:p>
    <w:p>
      <w:pPr>
        <w:widowControl/>
        <w:tabs>
          <w:tab w:val="center" w:pos="4201"/>
          <w:tab w:val="right" w:leader="dot" w:pos="9298"/>
        </w:tabs>
        <w:ind w:firstLine="420" w:firstLineChars="200"/>
        <w:rPr>
          <w:sz w:val="21"/>
          <w:szCs w:val="21"/>
        </w:rPr>
      </w:pPr>
      <w:r>
        <w:rPr>
          <w:rFonts w:hint="eastAsia"/>
          <w:sz w:val="21"/>
          <w:szCs w:val="21"/>
        </w:rPr>
        <w:t>目测、手感、鼻嗅。</w:t>
      </w:r>
    </w:p>
    <w:p>
      <w:pPr>
        <w:widowControl/>
        <w:numPr>
          <w:ilvl w:val="1"/>
          <w:numId w:val="1"/>
        </w:numPr>
        <w:spacing w:before="120" w:beforeLines="50" w:after="120" w:afterLines="50"/>
        <w:outlineLvl w:val="2"/>
        <w:rPr>
          <w:rFonts w:ascii="黑体" w:eastAsia="黑体"/>
          <w:sz w:val="21"/>
          <w:szCs w:val="21"/>
        </w:rPr>
      </w:pPr>
      <w:r>
        <w:rPr>
          <w:rFonts w:hint="eastAsia" w:ascii="黑体" w:eastAsia="黑体"/>
          <w:sz w:val="21"/>
          <w:szCs w:val="21"/>
          <w:lang w:val="en-US" w:eastAsia="zh-CN"/>
        </w:rPr>
        <w:t>理化指标检验</w:t>
      </w:r>
      <w:r>
        <w:rPr>
          <w:rFonts w:ascii="黑体" w:eastAsia="黑体"/>
          <w:sz w:val="21"/>
          <w:szCs w:val="21"/>
        </w:rPr>
        <w:t xml:space="preserve">   </w:t>
      </w:r>
    </w:p>
    <w:p>
      <w:pPr>
        <w:pStyle w:val="18"/>
        <w:numPr>
          <w:ilvl w:val="2"/>
          <w:numId w:val="1"/>
        </w:numPr>
        <w:bidi w:val="0"/>
        <w:ind w:left="0" w:leftChars="0" w:firstLine="0" w:firstLineChars="0"/>
      </w:pPr>
      <w:r>
        <w:rPr>
          <w:rFonts w:ascii="宋体" w:hAnsi="宋体" w:eastAsia="宋体" w:cs="宋体"/>
          <w:spacing w:val="-2"/>
          <w:sz w:val="21"/>
          <w:szCs w:val="21"/>
        </w:rPr>
        <w:t>果重用满足精度的衡器测定。</w:t>
      </w:r>
    </w:p>
    <w:p>
      <w:pPr>
        <w:pStyle w:val="18"/>
        <w:numPr>
          <w:ilvl w:val="2"/>
          <w:numId w:val="1"/>
        </w:numPr>
        <w:bidi w:val="0"/>
        <w:ind w:left="0" w:leftChars="0" w:firstLine="0" w:firstLineChars="0"/>
      </w:pPr>
      <w:r>
        <w:rPr>
          <w:rFonts w:ascii="宋体" w:hAnsi="宋体" w:eastAsia="宋体" w:cs="宋体"/>
          <w:spacing w:val="-1"/>
          <w:sz w:val="21"/>
          <w:szCs w:val="21"/>
        </w:rPr>
        <w:t>糖份用手持式糖量计测定。</w:t>
      </w:r>
    </w:p>
    <w:p>
      <w:pPr>
        <w:pStyle w:val="18"/>
        <w:numPr>
          <w:ilvl w:val="2"/>
          <w:numId w:val="1"/>
        </w:numPr>
        <w:bidi w:val="0"/>
        <w:ind w:left="0" w:leftChars="0" w:firstLine="0" w:firstLineChars="0"/>
      </w:pPr>
      <w:r>
        <w:rPr>
          <w:rFonts w:ascii="宋体" w:hAnsi="宋体" w:eastAsia="宋体" w:cs="宋体"/>
          <w:spacing w:val="-2"/>
          <w:sz w:val="21"/>
          <w:szCs w:val="21"/>
        </w:rPr>
        <w:t>可溶性固行物含量的测定按</w:t>
      </w:r>
      <w:r>
        <w:rPr>
          <w:rFonts w:ascii="宋体" w:hAnsi="宋体" w:eastAsia="宋体" w:cs="宋体"/>
          <w:spacing w:val="-25"/>
          <w:sz w:val="21"/>
          <w:szCs w:val="21"/>
        </w:rPr>
        <w:t xml:space="preserve"> </w:t>
      </w:r>
      <w:r>
        <w:rPr>
          <w:rFonts w:ascii="宋体" w:hAnsi="宋体" w:eastAsia="宋体" w:cs="宋体"/>
          <w:spacing w:val="-2"/>
          <w:sz w:val="21"/>
          <w:szCs w:val="21"/>
        </w:rPr>
        <w:t>NY/T 26</w:t>
      </w:r>
      <w:r>
        <w:rPr>
          <w:rFonts w:ascii="宋体" w:hAnsi="宋体" w:eastAsia="宋体" w:cs="宋体"/>
          <w:spacing w:val="-3"/>
          <w:sz w:val="21"/>
          <w:szCs w:val="21"/>
        </w:rPr>
        <w:t>37—2014 的规定进行。</w:t>
      </w:r>
    </w:p>
    <w:p>
      <w:pPr>
        <w:widowControl/>
        <w:numPr>
          <w:ilvl w:val="1"/>
          <w:numId w:val="1"/>
        </w:numPr>
        <w:spacing w:before="120" w:beforeLines="50" w:after="120" w:afterLines="50"/>
        <w:outlineLvl w:val="2"/>
        <w:rPr>
          <w:rFonts w:ascii="黑体" w:eastAsia="黑体"/>
          <w:sz w:val="21"/>
          <w:szCs w:val="21"/>
        </w:rPr>
      </w:pPr>
      <w:r>
        <w:rPr>
          <w:rFonts w:hint="eastAsia" w:ascii="黑体" w:eastAsia="黑体"/>
          <w:sz w:val="21"/>
          <w:szCs w:val="21"/>
          <w:lang w:val="en-US" w:eastAsia="zh-CN"/>
        </w:rPr>
        <w:t>卫生指标检验</w:t>
      </w:r>
      <w:r>
        <w:rPr>
          <w:rFonts w:ascii="黑体" w:eastAsia="黑体"/>
          <w:sz w:val="21"/>
          <w:szCs w:val="21"/>
        </w:rPr>
        <w:t xml:space="preserve">  </w:t>
      </w:r>
    </w:p>
    <w:p>
      <w:pPr>
        <w:pStyle w:val="18"/>
        <w:numPr>
          <w:ilvl w:val="2"/>
          <w:numId w:val="1"/>
        </w:numPr>
        <w:bidi w:val="0"/>
        <w:ind w:left="0" w:leftChars="0" w:firstLine="0" w:firstLineChars="0"/>
        <w:rPr>
          <w:rFonts w:hint="eastAsia" w:ascii="黑体" w:hAnsi="宋体" w:eastAsia="黑体" w:cs="宋体"/>
          <w:sz w:val="21"/>
          <w:szCs w:val="21"/>
          <w:lang w:val="en-US" w:eastAsia="zh-CN" w:bidi="zh-CN"/>
        </w:rPr>
      </w:pPr>
      <w:bookmarkStart w:id="25" w:name="_Toc15970"/>
      <w:r>
        <w:rPr>
          <w:rFonts w:hint="eastAsia" w:ascii="黑体" w:hAnsi="宋体" w:eastAsia="黑体" w:cs="宋体"/>
          <w:sz w:val="21"/>
          <w:szCs w:val="21"/>
          <w:lang w:val="en-US" w:eastAsia="zh-CN" w:bidi="zh-CN"/>
        </w:rPr>
        <w:t>试样制备</w:t>
      </w:r>
    </w:p>
    <w:p>
      <w:pPr>
        <w:spacing w:before="166" w:line="214" w:lineRule="auto"/>
        <w:jc w:val="center"/>
        <w:rPr>
          <w:rFonts w:ascii="宋体" w:hAnsi="宋体" w:eastAsia="宋体" w:cs="宋体"/>
          <w:sz w:val="21"/>
          <w:szCs w:val="21"/>
        </w:rPr>
      </w:pPr>
      <w:r>
        <w:rPr>
          <w:rFonts w:ascii="宋体" w:hAnsi="宋体" w:eastAsia="宋体" w:cs="宋体"/>
          <w:spacing w:val="-8"/>
          <w:sz w:val="21"/>
          <w:szCs w:val="21"/>
        </w:rPr>
        <w:t>取水蜜桃8～10个，用水冲洗，擦干，切开去核，各取相对两小块，切碎混匀，称取混合样品500g,  置</w:t>
      </w:r>
    </w:p>
    <w:p>
      <w:pPr>
        <w:spacing w:before="113" w:line="219" w:lineRule="auto"/>
        <w:rPr>
          <w:rFonts w:ascii="宋体" w:hAnsi="宋体" w:eastAsia="宋体" w:cs="宋体"/>
          <w:sz w:val="21"/>
          <w:szCs w:val="21"/>
        </w:rPr>
      </w:pPr>
      <w:r>
        <w:rPr>
          <w:rFonts w:ascii="宋体" w:hAnsi="宋体" w:eastAsia="宋体" w:cs="宋体"/>
          <w:spacing w:val="-3"/>
          <w:sz w:val="21"/>
          <w:szCs w:val="21"/>
        </w:rPr>
        <w:t>调整组织捣碎机中捣碎备用。</w:t>
      </w:r>
    </w:p>
    <w:p>
      <w:pPr>
        <w:pStyle w:val="18"/>
        <w:numPr>
          <w:ilvl w:val="2"/>
          <w:numId w:val="1"/>
        </w:numPr>
        <w:bidi w:val="0"/>
        <w:ind w:left="0" w:leftChars="0" w:firstLine="0" w:firstLineChars="0"/>
        <w:rPr>
          <w:rFonts w:hint="eastAsia" w:ascii="黑体" w:hAnsi="宋体" w:eastAsia="黑体" w:cs="宋体"/>
          <w:sz w:val="21"/>
          <w:szCs w:val="21"/>
          <w:lang w:val="en-US" w:eastAsia="zh-CN" w:bidi="zh-CN"/>
        </w:rPr>
      </w:pPr>
      <w:r>
        <w:rPr>
          <w:rFonts w:hint="eastAsia" w:ascii="黑体" w:hAnsi="宋体" w:eastAsia="黑体" w:cs="宋体"/>
          <w:sz w:val="21"/>
          <w:szCs w:val="21"/>
          <w:lang w:val="en-US" w:eastAsia="zh-CN" w:bidi="zh-CN"/>
        </w:rPr>
        <w:t>测定方法</w:t>
      </w:r>
    </w:p>
    <w:p>
      <w:pPr>
        <w:spacing w:before="244" w:line="219" w:lineRule="auto"/>
        <w:ind w:left="449"/>
        <w:rPr>
          <w:rFonts w:ascii="宋体" w:hAnsi="宋体" w:eastAsia="宋体" w:cs="宋体"/>
          <w:sz w:val="21"/>
          <w:szCs w:val="21"/>
        </w:rPr>
      </w:pPr>
      <w:r>
        <w:rPr>
          <w:rFonts w:ascii="宋体" w:hAnsi="宋体" w:eastAsia="宋体" w:cs="宋体"/>
          <w:spacing w:val="-3"/>
          <w:sz w:val="21"/>
          <w:szCs w:val="21"/>
        </w:rPr>
        <w:t>按</w:t>
      </w:r>
      <w:r>
        <w:rPr>
          <w:rFonts w:ascii="Times New Roman" w:hAnsi="Times New Roman" w:eastAsia="Times New Roman" w:cs="Times New Roman"/>
          <w:spacing w:val="-3"/>
          <w:sz w:val="21"/>
          <w:szCs w:val="21"/>
        </w:rPr>
        <w:t>NY/T 424</w:t>
      </w:r>
      <w:r>
        <w:rPr>
          <w:rFonts w:ascii="宋体" w:hAnsi="宋体" w:eastAsia="宋体" w:cs="宋体"/>
          <w:spacing w:val="-3"/>
          <w:sz w:val="21"/>
          <w:szCs w:val="21"/>
        </w:rPr>
        <w:t>要求进行。</w:t>
      </w:r>
    </w:p>
    <w:bookmarkEnd w:id="25"/>
    <w:p>
      <w:pPr>
        <w:widowControl/>
        <w:numPr>
          <w:ilvl w:val="0"/>
          <w:numId w:val="1"/>
        </w:numPr>
        <w:spacing w:before="240" w:beforeLines="100" w:after="240" w:afterLines="100"/>
        <w:outlineLvl w:val="0"/>
        <w:rPr>
          <w:rFonts w:ascii="Arial"/>
          <w:sz w:val="21"/>
        </w:rPr>
      </w:pPr>
      <w:bookmarkStart w:id="26" w:name="BookMark8"/>
      <w:r>
        <w:rPr>
          <w:rFonts w:hint="eastAsia" w:ascii="黑体" w:eastAsia="黑体"/>
          <w:sz w:val="21"/>
          <w:szCs w:val="21"/>
          <w:lang w:val="en-US" w:eastAsia="zh-CN"/>
        </w:rPr>
        <w:t>检验规则</w:t>
      </w:r>
    </w:p>
    <w:p>
      <w:pPr>
        <w:widowControl/>
        <w:numPr>
          <w:ilvl w:val="1"/>
          <w:numId w:val="1"/>
        </w:numPr>
        <w:spacing w:before="120" w:beforeLines="50" w:after="120" w:afterLines="50"/>
        <w:outlineLvl w:val="2"/>
        <w:rPr>
          <w:rFonts w:hint="eastAsia" w:ascii="黑体" w:eastAsia="黑体"/>
          <w:sz w:val="21"/>
          <w:szCs w:val="21"/>
          <w:lang w:val="en-US" w:eastAsia="zh-CN"/>
        </w:rPr>
      </w:pPr>
      <w:r>
        <w:rPr>
          <w:rFonts w:hint="eastAsia" w:ascii="黑体" w:eastAsia="黑体"/>
          <w:sz w:val="21"/>
          <w:szCs w:val="21"/>
          <w:lang w:val="en-US" w:eastAsia="zh-CN"/>
        </w:rPr>
        <w:t>组批与抽样</w:t>
      </w:r>
    </w:p>
    <w:p>
      <w:pPr>
        <w:pStyle w:val="18"/>
        <w:numPr>
          <w:ilvl w:val="2"/>
          <w:numId w:val="1"/>
        </w:numPr>
        <w:bidi w:val="0"/>
        <w:ind w:left="0" w:leftChars="0" w:firstLine="0" w:firstLineChars="0"/>
        <w:rPr>
          <w:rFonts w:hint="eastAsia" w:ascii="黑体" w:hAnsi="宋体" w:eastAsia="黑体" w:cs="宋体"/>
          <w:sz w:val="21"/>
          <w:szCs w:val="21"/>
          <w:lang w:val="en-US" w:eastAsia="zh-CN" w:bidi="zh-CN"/>
        </w:rPr>
      </w:pPr>
      <w:r>
        <w:rPr>
          <w:rFonts w:hint="eastAsia" w:ascii="黑体" w:hAnsi="宋体" w:eastAsia="黑体" w:cs="宋体"/>
          <w:sz w:val="21"/>
          <w:szCs w:val="21"/>
          <w:lang w:val="en-US" w:eastAsia="zh-CN" w:bidi="zh-CN"/>
        </w:rPr>
        <w:t>组批</w:t>
      </w:r>
    </w:p>
    <w:p>
      <w:pPr>
        <w:spacing w:before="227" w:line="219" w:lineRule="auto"/>
        <w:ind w:left="449"/>
        <w:rPr>
          <w:rFonts w:ascii="宋体" w:hAnsi="宋体" w:eastAsia="宋体" w:cs="宋体"/>
          <w:sz w:val="21"/>
          <w:szCs w:val="21"/>
        </w:rPr>
      </w:pPr>
      <w:r>
        <w:rPr>
          <w:rFonts w:ascii="宋体" w:hAnsi="宋体" w:eastAsia="宋体" w:cs="宋体"/>
          <w:spacing w:val="-1"/>
          <w:sz w:val="21"/>
          <w:szCs w:val="21"/>
        </w:rPr>
        <w:t>水蜜桃以同品种、同等级、作为一个检验批次。</w:t>
      </w:r>
    </w:p>
    <w:p>
      <w:pPr>
        <w:pStyle w:val="18"/>
        <w:numPr>
          <w:ilvl w:val="2"/>
          <w:numId w:val="1"/>
        </w:numPr>
        <w:bidi w:val="0"/>
        <w:ind w:left="0" w:leftChars="0" w:firstLine="0" w:firstLineChars="0"/>
        <w:rPr>
          <w:rFonts w:hint="eastAsia" w:ascii="黑体" w:hAnsi="宋体" w:eastAsia="黑体" w:cs="宋体"/>
          <w:sz w:val="21"/>
          <w:szCs w:val="21"/>
          <w:lang w:val="en-US" w:eastAsia="zh-CN" w:bidi="zh-CN"/>
        </w:rPr>
      </w:pPr>
      <w:r>
        <w:rPr>
          <w:rFonts w:hint="eastAsia" w:ascii="黑体" w:hAnsi="宋体" w:eastAsia="黑体" w:cs="宋体"/>
          <w:sz w:val="21"/>
          <w:szCs w:val="21"/>
          <w:lang w:val="en-US" w:eastAsia="zh-CN" w:bidi="zh-CN"/>
        </w:rPr>
        <w:t>抽样</w:t>
      </w:r>
    </w:p>
    <w:p>
      <w:pPr>
        <w:spacing w:before="176" w:line="264" w:lineRule="auto"/>
        <w:ind w:right="287" w:firstLine="449"/>
        <w:rPr>
          <w:rFonts w:ascii="宋体" w:hAnsi="宋体" w:eastAsia="宋体" w:cs="宋体"/>
          <w:sz w:val="21"/>
          <w:szCs w:val="21"/>
        </w:rPr>
      </w:pPr>
      <w:r>
        <w:rPr>
          <w:rFonts w:ascii="宋体" w:hAnsi="宋体" w:eastAsia="宋体" w:cs="宋体"/>
          <w:spacing w:val="-5"/>
          <w:sz w:val="21"/>
          <w:szCs w:val="21"/>
        </w:rPr>
        <w:t>在50件以内的随机抽2件、51～100件的随机抽3件、100件以上者，以100件</w:t>
      </w:r>
      <w:r>
        <w:rPr>
          <w:rFonts w:ascii="宋体" w:hAnsi="宋体" w:eastAsia="宋体" w:cs="宋体"/>
          <w:spacing w:val="-6"/>
          <w:sz w:val="21"/>
          <w:szCs w:val="21"/>
        </w:rPr>
        <w:t>抽样3件为基数，每增加</w:t>
      </w:r>
      <w:r>
        <w:rPr>
          <w:rFonts w:ascii="宋体" w:hAnsi="宋体" w:eastAsia="宋体" w:cs="宋体"/>
          <w:sz w:val="21"/>
          <w:szCs w:val="21"/>
        </w:rPr>
        <w:t xml:space="preserve"> </w:t>
      </w:r>
      <w:r>
        <w:rPr>
          <w:rFonts w:ascii="宋体" w:hAnsi="宋体" w:eastAsia="宋体" w:cs="宋体"/>
          <w:spacing w:val="-6"/>
          <w:sz w:val="21"/>
          <w:szCs w:val="21"/>
        </w:rPr>
        <w:t>100件增抽样1件，不足100件着以100件计。每件抽5～8个。</w:t>
      </w:r>
    </w:p>
    <w:p>
      <w:pPr>
        <w:widowControl/>
        <w:numPr>
          <w:ilvl w:val="1"/>
          <w:numId w:val="1"/>
        </w:numPr>
        <w:spacing w:before="120" w:beforeLines="50" w:after="120" w:afterLines="50"/>
        <w:outlineLvl w:val="2"/>
        <w:rPr>
          <w:rFonts w:hint="eastAsia" w:ascii="黑体" w:eastAsia="黑体"/>
          <w:sz w:val="21"/>
          <w:szCs w:val="21"/>
          <w:lang w:val="en-US" w:eastAsia="zh-CN"/>
        </w:rPr>
      </w:pPr>
      <w:r>
        <w:rPr>
          <w:rFonts w:hint="eastAsia" w:ascii="黑体" w:eastAsia="黑体"/>
          <w:sz w:val="21"/>
          <w:szCs w:val="21"/>
          <w:lang w:val="en-US" w:eastAsia="zh-CN"/>
        </w:rPr>
        <w:t>检验项目</w:t>
      </w:r>
    </w:p>
    <w:p>
      <w:pPr>
        <w:spacing w:before="222" w:line="219" w:lineRule="auto"/>
        <w:rPr>
          <w:rFonts w:ascii="宋体" w:hAnsi="宋体" w:eastAsia="宋体" w:cs="宋体"/>
          <w:sz w:val="21"/>
          <w:szCs w:val="21"/>
        </w:rPr>
      </w:pPr>
      <w:r>
        <w:rPr>
          <w:rFonts w:hint="eastAsia" w:ascii="黑体" w:hAnsi="宋体" w:eastAsia="黑体" w:cs="宋体"/>
          <w:sz w:val="21"/>
          <w:szCs w:val="21"/>
          <w:lang w:val="en-US" w:eastAsia="zh-CN" w:bidi="zh-CN"/>
        </w:rPr>
        <w:t xml:space="preserve">6.2.1  </w:t>
      </w:r>
      <w:r>
        <w:rPr>
          <w:rFonts w:ascii="宋体" w:hAnsi="宋体" w:eastAsia="宋体" w:cs="宋体"/>
          <w:sz w:val="21"/>
          <w:szCs w:val="21"/>
        </w:rPr>
        <w:t>感官、净重应每次检验。</w:t>
      </w:r>
    </w:p>
    <w:p>
      <w:pPr>
        <w:spacing w:before="71" w:line="219" w:lineRule="auto"/>
        <w:rPr>
          <w:rFonts w:ascii="宋体" w:hAnsi="宋体" w:eastAsia="宋体" w:cs="宋体"/>
          <w:sz w:val="21"/>
          <w:szCs w:val="21"/>
        </w:rPr>
      </w:pPr>
      <w:r>
        <w:rPr>
          <w:rFonts w:hint="eastAsia" w:ascii="黑体" w:hAnsi="宋体" w:eastAsia="黑体" w:cs="宋体"/>
          <w:sz w:val="21"/>
          <w:szCs w:val="21"/>
          <w:lang w:val="en-US" w:eastAsia="zh-CN" w:bidi="zh-CN"/>
        </w:rPr>
        <w:t xml:space="preserve">6.2.2  </w:t>
      </w:r>
      <w:r>
        <w:rPr>
          <w:rFonts w:ascii="宋体" w:hAnsi="宋体" w:eastAsia="宋体" w:cs="宋体"/>
          <w:spacing w:val="-2"/>
          <w:sz w:val="21"/>
          <w:szCs w:val="21"/>
        </w:rPr>
        <w:t>其余项目每三年进行一次。</w:t>
      </w:r>
    </w:p>
    <w:p>
      <w:pPr>
        <w:widowControl/>
        <w:numPr>
          <w:ilvl w:val="1"/>
          <w:numId w:val="1"/>
        </w:numPr>
        <w:spacing w:before="120" w:beforeLines="50" w:after="120" w:afterLines="50"/>
        <w:outlineLvl w:val="2"/>
        <w:rPr>
          <w:rFonts w:hint="eastAsia" w:ascii="黑体" w:eastAsia="黑体"/>
          <w:sz w:val="21"/>
          <w:szCs w:val="21"/>
          <w:lang w:val="en-US" w:eastAsia="zh-CN"/>
        </w:rPr>
      </w:pPr>
      <w:r>
        <w:rPr>
          <w:rFonts w:hint="eastAsia" w:ascii="黑体" w:eastAsia="黑体"/>
          <w:sz w:val="21"/>
          <w:szCs w:val="21"/>
          <w:lang w:val="en-US" w:eastAsia="zh-CN"/>
        </w:rPr>
        <w:t>判定规则</w:t>
      </w:r>
    </w:p>
    <w:p>
      <w:pPr>
        <w:spacing w:before="228" w:line="219" w:lineRule="auto"/>
        <w:ind w:left="449"/>
        <w:rPr>
          <w:rFonts w:ascii="宋体" w:hAnsi="宋体" w:eastAsia="宋体" w:cs="宋体"/>
          <w:sz w:val="21"/>
          <w:szCs w:val="21"/>
        </w:rPr>
      </w:pPr>
      <w:r>
        <w:rPr>
          <w:rFonts w:ascii="宋体" w:hAnsi="宋体" w:eastAsia="宋体" w:cs="宋体"/>
          <w:spacing w:val="-2"/>
          <w:sz w:val="21"/>
          <w:szCs w:val="21"/>
        </w:rPr>
        <w:t>检验中除净重外若有一项不符合要求时应除等处理。</w:t>
      </w:r>
    </w:p>
    <w:p>
      <w:pPr>
        <w:spacing w:line="219" w:lineRule="auto"/>
        <w:rPr>
          <w:rFonts w:ascii="宋体" w:hAnsi="宋体" w:eastAsia="宋体" w:cs="宋体"/>
          <w:sz w:val="21"/>
          <w:szCs w:val="21"/>
        </w:rPr>
        <w:sectPr>
          <w:footerReference r:id="rId5" w:type="default"/>
          <w:pgSz w:w="12200" w:h="17050"/>
          <w:pgMar w:top="1449" w:right="1446" w:bottom="1315" w:left="1250" w:header="0" w:footer="1166" w:gutter="0"/>
          <w:cols w:space="720" w:num="1"/>
        </w:sectPr>
      </w:pPr>
    </w:p>
    <w:p>
      <w:pPr>
        <w:widowControl/>
        <w:numPr>
          <w:ilvl w:val="0"/>
          <w:numId w:val="1"/>
        </w:numPr>
        <w:spacing w:before="240" w:beforeLines="100" w:after="240" w:afterLines="100"/>
        <w:outlineLvl w:val="0"/>
        <w:rPr>
          <w:rFonts w:ascii="Arial"/>
          <w:sz w:val="21"/>
        </w:rPr>
      </w:pPr>
      <w:r>
        <w:rPr>
          <w:rFonts w:hint="eastAsia" w:ascii="黑体" w:eastAsia="黑体"/>
          <w:sz w:val="21"/>
          <w:szCs w:val="21"/>
          <w:lang w:val="en-US" w:eastAsia="zh-CN"/>
        </w:rPr>
        <w:t>标志、包装、运输、保管</w:t>
      </w:r>
    </w:p>
    <w:p>
      <w:pPr>
        <w:widowControl/>
        <w:numPr>
          <w:ilvl w:val="1"/>
          <w:numId w:val="1"/>
        </w:numPr>
        <w:spacing w:before="120" w:beforeLines="50" w:after="120" w:afterLines="50"/>
        <w:outlineLvl w:val="2"/>
        <w:rPr>
          <w:rFonts w:hint="eastAsia" w:ascii="黑体" w:eastAsia="黑体"/>
          <w:sz w:val="21"/>
          <w:szCs w:val="21"/>
          <w:lang w:val="en-US" w:eastAsia="zh-CN"/>
        </w:rPr>
      </w:pPr>
      <w:r>
        <w:rPr>
          <w:rFonts w:hint="eastAsia" w:ascii="黑体" w:eastAsia="黑体"/>
          <w:sz w:val="21"/>
          <w:szCs w:val="21"/>
          <w:lang w:val="en-US" w:eastAsia="zh-CN"/>
        </w:rPr>
        <w:t>标志</w:t>
      </w:r>
    </w:p>
    <w:p>
      <w:pPr>
        <w:spacing w:before="191" w:line="219" w:lineRule="auto"/>
        <w:rPr>
          <w:rFonts w:ascii="宋体" w:hAnsi="宋体" w:eastAsia="宋体" w:cs="宋体"/>
          <w:sz w:val="21"/>
          <w:szCs w:val="21"/>
        </w:rPr>
      </w:pPr>
      <w:r>
        <w:rPr>
          <w:rFonts w:hint="eastAsia" w:ascii="黑体" w:hAnsi="宋体" w:eastAsia="黑体" w:cs="宋体"/>
          <w:sz w:val="21"/>
          <w:szCs w:val="21"/>
          <w:lang w:val="en-US" w:eastAsia="zh-CN" w:bidi="zh-CN"/>
        </w:rPr>
        <w:t xml:space="preserve">7.1.1 </w:t>
      </w:r>
      <w:r>
        <w:rPr>
          <w:rFonts w:ascii="宋体" w:hAnsi="宋体" w:eastAsia="宋体" w:cs="宋体"/>
          <w:spacing w:val="29"/>
          <w:sz w:val="21"/>
          <w:szCs w:val="21"/>
        </w:rPr>
        <w:t xml:space="preserve"> </w:t>
      </w:r>
      <w:r>
        <w:rPr>
          <w:rFonts w:ascii="宋体" w:hAnsi="宋体" w:eastAsia="宋体" w:cs="宋体"/>
          <w:sz w:val="21"/>
          <w:szCs w:val="21"/>
        </w:rPr>
        <w:t>同一批货物的包装标志，在形式和内容上</w:t>
      </w:r>
      <w:r>
        <w:rPr>
          <w:rFonts w:ascii="宋体" w:hAnsi="宋体" w:eastAsia="宋体" w:cs="宋体"/>
          <w:color w:val="135683"/>
          <w:sz w:val="21"/>
          <w:szCs w:val="21"/>
        </w:rPr>
        <w:t>应</w:t>
      </w:r>
      <w:r>
        <w:rPr>
          <w:rFonts w:ascii="宋体" w:hAnsi="宋体" w:eastAsia="宋体" w:cs="宋体"/>
          <w:sz w:val="21"/>
          <w:szCs w:val="21"/>
        </w:rPr>
        <w:t>完全</w:t>
      </w:r>
      <w:r>
        <w:rPr>
          <w:rFonts w:ascii="宋体" w:hAnsi="宋体" w:eastAsia="宋体" w:cs="宋体"/>
          <w:spacing w:val="-1"/>
          <w:sz w:val="21"/>
          <w:szCs w:val="21"/>
        </w:rPr>
        <w:t>统一，</w:t>
      </w:r>
      <w:r>
        <w:rPr>
          <w:rFonts w:ascii="宋体" w:hAnsi="宋体" w:eastAsia="宋体" w:cs="宋体"/>
          <w:color w:val="135683"/>
          <w:spacing w:val="-1"/>
          <w:sz w:val="21"/>
          <w:szCs w:val="21"/>
        </w:rPr>
        <w:t>字</w:t>
      </w:r>
      <w:r>
        <w:rPr>
          <w:rFonts w:ascii="宋体" w:hAnsi="宋体" w:eastAsia="宋体" w:cs="宋体"/>
          <w:spacing w:val="-1"/>
          <w:sz w:val="21"/>
          <w:szCs w:val="21"/>
        </w:rPr>
        <w:t>迹清晰，不得脱</w:t>
      </w:r>
      <w:r>
        <w:rPr>
          <w:rFonts w:ascii="宋体" w:hAnsi="宋体" w:eastAsia="宋体" w:cs="宋体"/>
          <w:color w:val="135683"/>
          <w:spacing w:val="-1"/>
          <w:sz w:val="21"/>
          <w:szCs w:val="21"/>
        </w:rPr>
        <w:t>落</w:t>
      </w:r>
      <w:r>
        <w:rPr>
          <w:rFonts w:ascii="宋体" w:hAnsi="宋体" w:eastAsia="宋体" w:cs="宋体"/>
          <w:spacing w:val="-1"/>
          <w:sz w:val="21"/>
          <w:szCs w:val="21"/>
        </w:rPr>
        <w:t>。</w:t>
      </w:r>
    </w:p>
    <w:p>
      <w:pPr>
        <w:spacing w:before="92" w:line="219" w:lineRule="auto"/>
        <w:rPr>
          <w:rFonts w:ascii="宋体" w:hAnsi="宋体" w:eastAsia="宋体" w:cs="宋体"/>
          <w:sz w:val="21"/>
          <w:szCs w:val="21"/>
        </w:rPr>
      </w:pPr>
      <w:r>
        <w:rPr>
          <w:rFonts w:hint="eastAsia" w:ascii="黑体" w:hAnsi="宋体" w:eastAsia="黑体" w:cs="宋体"/>
          <w:sz w:val="21"/>
          <w:szCs w:val="21"/>
          <w:lang w:val="en-US" w:eastAsia="zh-CN" w:bidi="zh-CN"/>
        </w:rPr>
        <w:t xml:space="preserve">7.1.2 </w:t>
      </w:r>
      <w:r>
        <w:rPr>
          <w:rFonts w:ascii="宋体" w:hAnsi="宋体" w:eastAsia="宋体" w:cs="宋体"/>
          <w:spacing w:val="1"/>
          <w:sz w:val="21"/>
          <w:szCs w:val="21"/>
        </w:rPr>
        <w:t xml:space="preserve"> 标志内容应表明品名、品种、等级、产地、净重</w:t>
      </w:r>
      <w:r>
        <w:rPr>
          <w:rFonts w:ascii="宋体" w:hAnsi="宋体" w:eastAsia="宋体" w:cs="宋体"/>
          <w:sz w:val="21"/>
          <w:szCs w:val="21"/>
        </w:rPr>
        <w:t>或个数、包装日期。</w:t>
      </w:r>
    </w:p>
    <w:p>
      <w:pPr>
        <w:widowControl/>
        <w:numPr>
          <w:ilvl w:val="1"/>
          <w:numId w:val="1"/>
        </w:numPr>
        <w:spacing w:before="120" w:beforeLines="50" w:after="120" w:afterLines="50"/>
        <w:outlineLvl w:val="2"/>
        <w:rPr>
          <w:rFonts w:hint="eastAsia" w:ascii="黑体" w:eastAsia="黑体"/>
          <w:sz w:val="21"/>
          <w:szCs w:val="21"/>
          <w:lang w:val="en-US" w:eastAsia="zh-CN"/>
        </w:rPr>
      </w:pPr>
      <w:r>
        <w:rPr>
          <w:rFonts w:hint="eastAsia" w:ascii="黑体" w:eastAsia="黑体"/>
          <w:sz w:val="21"/>
          <w:szCs w:val="21"/>
          <w:lang w:val="en-US" w:eastAsia="zh-CN"/>
        </w:rPr>
        <w:t>包装</w:t>
      </w:r>
    </w:p>
    <w:p>
      <w:pPr>
        <w:spacing w:before="181" w:line="219" w:lineRule="auto"/>
        <w:rPr>
          <w:rFonts w:ascii="宋体" w:hAnsi="宋体" w:eastAsia="宋体" w:cs="宋体"/>
          <w:sz w:val="21"/>
          <w:szCs w:val="21"/>
        </w:rPr>
      </w:pPr>
      <w:r>
        <w:rPr>
          <w:rFonts w:hint="eastAsia" w:ascii="黑体" w:hAnsi="宋体" w:eastAsia="黑体" w:cs="宋体"/>
          <w:sz w:val="21"/>
          <w:szCs w:val="21"/>
          <w:lang w:val="en-US" w:eastAsia="zh-CN" w:bidi="zh-CN"/>
        </w:rPr>
        <w:t>7.2.1</w:t>
      </w:r>
      <w:r>
        <w:rPr>
          <w:rFonts w:ascii="宋体" w:hAnsi="宋体" w:eastAsia="宋体" w:cs="宋体"/>
          <w:spacing w:val="34"/>
          <w:sz w:val="21"/>
          <w:szCs w:val="21"/>
        </w:rPr>
        <w:t xml:space="preserve">  </w:t>
      </w:r>
      <w:r>
        <w:rPr>
          <w:rFonts w:ascii="宋体" w:hAnsi="宋体" w:eastAsia="宋体" w:cs="宋体"/>
          <w:spacing w:val="-1"/>
          <w:sz w:val="21"/>
          <w:szCs w:val="21"/>
        </w:rPr>
        <w:t>包装容器必须坚固耐用，清洁卫生。干燥无异味，内外均无刺伤果实的</w:t>
      </w:r>
      <w:r>
        <w:rPr>
          <w:rFonts w:ascii="宋体" w:hAnsi="宋体" w:eastAsia="宋体" w:cs="宋体"/>
          <w:spacing w:val="-2"/>
          <w:sz w:val="21"/>
          <w:szCs w:val="21"/>
        </w:rPr>
        <w:t>尖突物，并有合适的通</w:t>
      </w:r>
    </w:p>
    <w:p>
      <w:pPr>
        <w:spacing w:before="63" w:line="221" w:lineRule="auto"/>
        <w:ind w:left="770"/>
        <w:rPr>
          <w:rFonts w:ascii="宋体" w:hAnsi="宋体" w:eastAsia="宋体" w:cs="宋体"/>
          <w:sz w:val="21"/>
          <w:szCs w:val="21"/>
        </w:rPr>
      </w:pPr>
      <w:r>
        <w:rPr>
          <w:rFonts w:ascii="宋体" w:hAnsi="宋体" w:eastAsia="宋体" w:cs="宋体"/>
          <w:spacing w:val="-4"/>
          <w:sz w:val="21"/>
          <w:szCs w:val="21"/>
        </w:rPr>
        <w:t>气孔。</w:t>
      </w:r>
    </w:p>
    <w:p>
      <w:pPr>
        <w:spacing w:line="214" w:lineRule="auto"/>
        <w:rPr>
          <w:rFonts w:ascii="宋体" w:hAnsi="宋体" w:eastAsia="宋体" w:cs="宋体"/>
          <w:sz w:val="21"/>
          <w:szCs w:val="21"/>
        </w:rPr>
      </w:pPr>
      <w:r>
        <w:rPr>
          <w:rFonts w:hint="eastAsia" w:ascii="黑体" w:hAnsi="宋体" w:eastAsia="黑体" w:cs="宋体"/>
          <w:sz w:val="21"/>
          <w:szCs w:val="21"/>
          <w:lang w:val="en-US" w:eastAsia="zh-CN" w:bidi="zh-CN"/>
        </w:rPr>
        <w:t xml:space="preserve">7.2.2 </w:t>
      </w:r>
      <w:r>
        <w:rPr>
          <w:rFonts w:ascii="宋体" w:hAnsi="宋体" w:eastAsia="宋体" w:cs="宋体"/>
          <w:spacing w:val="-3"/>
          <w:sz w:val="21"/>
          <w:szCs w:val="21"/>
        </w:rPr>
        <w:t xml:space="preserve"> 用于鲜销和短距离运输的包装，可采用纸箱、木箱或塑料箱，每件净重量一般为4 kg、5 kg、8 kg、</w:t>
      </w:r>
    </w:p>
    <w:p>
      <w:pPr>
        <w:spacing w:before="47" w:line="214" w:lineRule="auto"/>
        <w:ind w:left="770"/>
        <w:rPr>
          <w:rFonts w:ascii="宋体" w:hAnsi="宋体" w:eastAsia="宋体" w:cs="宋体"/>
          <w:sz w:val="21"/>
          <w:szCs w:val="21"/>
        </w:rPr>
      </w:pPr>
      <w:r>
        <w:rPr>
          <w:rFonts w:ascii="宋体" w:hAnsi="宋体" w:eastAsia="宋体" w:cs="宋体"/>
          <w:spacing w:val="-9"/>
          <w:sz w:val="21"/>
          <w:szCs w:val="21"/>
        </w:rPr>
        <w:t>10</w:t>
      </w:r>
      <w:r>
        <w:rPr>
          <w:rFonts w:ascii="宋体" w:hAnsi="宋体" w:eastAsia="宋体" w:cs="宋体"/>
          <w:spacing w:val="8"/>
          <w:sz w:val="21"/>
          <w:szCs w:val="21"/>
        </w:rPr>
        <w:t xml:space="preserve"> </w:t>
      </w:r>
      <w:r>
        <w:rPr>
          <w:rFonts w:ascii="宋体" w:hAnsi="宋体" w:eastAsia="宋体" w:cs="宋体"/>
          <w:spacing w:val="-9"/>
          <w:sz w:val="21"/>
          <w:szCs w:val="21"/>
        </w:rPr>
        <w:t>kg。</w:t>
      </w:r>
    </w:p>
    <w:p>
      <w:pPr>
        <w:widowControl/>
        <w:numPr>
          <w:ilvl w:val="1"/>
          <w:numId w:val="1"/>
        </w:numPr>
        <w:spacing w:before="120" w:beforeLines="50" w:after="120" w:afterLines="50"/>
        <w:outlineLvl w:val="2"/>
        <w:rPr>
          <w:rFonts w:hint="eastAsia" w:ascii="黑体" w:eastAsia="黑体"/>
          <w:sz w:val="21"/>
          <w:szCs w:val="21"/>
          <w:lang w:val="en-US" w:eastAsia="zh-CN"/>
        </w:rPr>
      </w:pPr>
      <w:r>
        <w:rPr>
          <w:rFonts w:hint="eastAsia" w:ascii="黑体" w:eastAsia="黑体"/>
          <w:sz w:val="21"/>
          <w:szCs w:val="21"/>
          <w:lang w:val="en-US" w:eastAsia="zh-CN"/>
        </w:rPr>
        <w:t>运输保管</w:t>
      </w:r>
    </w:p>
    <w:p>
      <w:pPr>
        <w:spacing w:before="208" w:line="219" w:lineRule="auto"/>
        <w:rPr>
          <w:rFonts w:ascii="宋体" w:hAnsi="宋体" w:eastAsia="宋体" w:cs="宋体"/>
          <w:sz w:val="21"/>
          <w:szCs w:val="21"/>
        </w:rPr>
      </w:pPr>
      <w:r>
        <w:rPr>
          <w:rFonts w:hint="eastAsia" w:ascii="黑体" w:hAnsi="宋体" w:eastAsia="黑体" w:cs="宋体"/>
          <w:sz w:val="21"/>
          <w:szCs w:val="21"/>
          <w:lang w:val="en-US" w:eastAsia="zh-CN" w:bidi="zh-CN"/>
        </w:rPr>
        <w:t xml:space="preserve">7.3.1 </w:t>
      </w:r>
      <w:r>
        <w:rPr>
          <w:rFonts w:ascii="宋体" w:hAnsi="宋体" w:eastAsia="宋体" w:cs="宋体"/>
          <w:spacing w:val="28"/>
          <w:sz w:val="21"/>
          <w:szCs w:val="21"/>
        </w:rPr>
        <w:t xml:space="preserve"> </w:t>
      </w:r>
      <w:r>
        <w:rPr>
          <w:rFonts w:ascii="宋体" w:hAnsi="宋体" w:eastAsia="宋体" w:cs="宋体"/>
          <w:spacing w:val="-6"/>
          <w:sz w:val="21"/>
          <w:szCs w:val="21"/>
        </w:rPr>
        <w:t>桃采摘后应立即按标准规定的要求挑选分级、包装验收，并迅速组织调运至鲜销地或入库贮存。</w:t>
      </w:r>
    </w:p>
    <w:p>
      <w:pPr>
        <w:spacing w:before="10" w:line="218" w:lineRule="auto"/>
        <w:rPr>
          <w:rFonts w:ascii="宋体" w:hAnsi="宋体" w:eastAsia="宋体" w:cs="宋体"/>
          <w:sz w:val="21"/>
          <w:szCs w:val="21"/>
        </w:rPr>
      </w:pPr>
      <w:r>
        <w:rPr>
          <w:rFonts w:hint="eastAsia" w:ascii="黑体" w:hAnsi="宋体" w:eastAsia="黑体" w:cs="宋体"/>
          <w:sz w:val="21"/>
          <w:szCs w:val="21"/>
          <w:lang w:val="en-US" w:eastAsia="zh-CN" w:bidi="zh-CN"/>
        </w:rPr>
        <w:t xml:space="preserve">7.3.2 </w:t>
      </w:r>
      <w:r>
        <w:rPr>
          <w:rFonts w:ascii="宋体" w:hAnsi="宋体" w:eastAsia="宋体" w:cs="宋体"/>
          <w:spacing w:val="28"/>
          <w:sz w:val="21"/>
          <w:szCs w:val="21"/>
        </w:rPr>
        <w:t xml:space="preserve"> </w:t>
      </w:r>
      <w:r>
        <w:rPr>
          <w:rFonts w:ascii="宋体" w:hAnsi="宋体" w:eastAsia="宋体" w:cs="宋体"/>
          <w:spacing w:val="-6"/>
          <w:sz w:val="21"/>
          <w:szCs w:val="21"/>
        </w:rPr>
        <w:t>待运的桃，必须批次分明，堆码整齐、环境清洁、通风良好、严禁强烈撞击和烈日暴晒、雨淋、</w:t>
      </w:r>
    </w:p>
    <w:p>
      <w:pPr>
        <w:spacing w:before="55" w:line="219" w:lineRule="auto"/>
        <w:ind w:left="770"/>
        <w:rPr>
          <w:rFonts w:ascii="宋体" w:hAnsi="宋体" w:eastAsia="宋体" w:cs="宋体"/>
          <w:spacing w:val="-8"/>
          <w:sz w:val="21"/>
          <w:szCs w:val="21"/>
        </w:rPr>
      </w:pPr>
      <w:r>
        <w:rPr>
          <w:rFonts w:ascii="宋体" w:hAnsi="宋体" w:eastAsia="宋体" w:cs="宋体"/>
          <w:spacing w:val="-8"/>
          <w:sz w:val="21"/>
          <w:szCs w:val="21"/>
        </w:rPr>
        <w:t>露天堆放要有遮阴措施。</w:t>
      </w:r>
    </w:p>
    <w:p>
      <w:pPr>
        <w:spacing w:line="539" w:lineRule="exact"/>
        <w:rPr>
          <w:rFonts w:ascii="宋体" w:hAnsi="宋体" w:eastAsia="宋体" w:cs="宋体"/>
          <w:sz w:val="21"/>
          <w:szCs w:val="21"/>
        </w:rPr>
      </w:pPr>
      <w:r>
        <w:rPr>
          <w:rFonts w:hint="eastAsia" w:ascii="黑体" w:hAnsi="黑体" w:eastAsia="黑体" w:cs="黑体"/>
          <w:spacing w:val="-5"/>
          <w:position w:val="25"/>
          <w:sz w:val="21"/>
          <w:szCs w:val="21"/>
        </w:rPr>
        <w:t>7.3.3</w:t>
      </w:r>
      <w:r>
        <w:rPr>
          <w:rFonts w:ascii="宋体" w:hAnsi="宋体" w:eastAsia="宋体" w:cs="宋体"/>
          <w:spacing w:val="24"/>
          <w:position w:val="25"/>
          <w:sz w:val="21"/>
          <w:szCs w:val="21"/>
        </w:rPr>
        <w:t xml:space="preserve">  </w:t>
      </w:r>
      <w:r>
        <w:rPr>
          <w:rFonts w:ascii="宋体" w:hAnsi="宋体" w:eastAsia="宋体" w:cs="宋体"/>
          <w:spacing w:val="-5"/>
          <w:position w:val="25"/>
          <w:sz w:val="21"/>
          <w:szCs w:val="21"/>
        </w:rPr>
        <w:t>堆放和装卸时要轻搬轻放，运输工具必须清洁卫生，严禁与有毒、</w:t>
      </w:r>
      <w:r>
        <w:rPr>
          <w:rFonts w:ascii="宋体" w:hAnsi="宋体" w:eastAsia="宋体" w:cs="宋体"/>
          <w:spacing w:val="-6"/>
          <w:position w:val="25"/>
          <w:sz w:val="21"/>
          <w:szCs w:val="21"/>
        </w:rPr>
        <w:t>有异味、有害物品混装、混运。</w:t>
      </w:r>
    </w:p>
    <w:p>
      <w:pPr>
        <w:widowControl/>
        <w:numPr>
          <w:ilvl w:val="0"/>
          <w:numId w:val="1"/>
        </w:numPr>
        <w:spacing w:before="240" w:beforeLines="100" w:after="240" w:afterLines="100"/>
        <w:outlineLvl w:val="0"/>
        <w:rPr>
          <w:rFonts w:ascii="Arial"/>
          <w:sz w:val="21"/>
        </w:rPr>
      </w:pPr>
      <w:r>
        <w:rPr>
          <w:rFonts w:hint="eastAsia" w:ascii="黑体" w:eastAsia="黑体"/>
          <w:sz w:val="21"/>
          <w:szCs w:val="21"/>
          <w:lang w:val="en-US" w:eastAsia="zh-CN"/>
        </w:rPr>
        <w:t>保存期</w:t>
      </w:r>
    </w:p>
    <w:p>
      <w:pPr>
        <w:keepNext w:val="0"/>
        <w:keepLines w:val="0"/>
        <w:pageBreakBefore w:val="0"/>
        <w:widowControl w:val="0"/>
        <w:kinsoku/>
        <w:wordWrap/>
        <w:overflowPunct/>
        <w:topLinePunct w:val="0"/>
        <w:autoSpaceDE w:val="0"/>
        <w:autoSpaceDN w:val="0"/>
        <w:bidi w:val="0"/>
        <w:adjustRightInd/>
        <w:snapToGrid/>
        <w:spacing w:before="69" w:line="219" w:lineRule="auto"/>
        <w:ind w:firstLine="408" w:firstLineChars="200"/>
        <w:textAlignment w:val="auto"/>
        <w:rPr>
          <w:rFonts w:ascii="宋体" w:hAnsi="宋体" w:eastAsia="宋体" w:cs="宋体"/>
          <w:sz w:val="21"/>
          <w:szCs w:val="21"/>
        </w:rPr>
      </w:pPr>
      <w:r>
        <w:rPr>
          <w:rFonts w:ascii="宋体" w:hAnsi="宋体" w:eastAsia="宋体" w:cs="宋体"/>
          <w:spacing w:val="-3"/>
          <w:sz w:val="21"/>
          <w:szCs w:val="21"/>
        </w:rPr>
        <w:t>常温下保存期为一周。</w:t>
      </w:r>
    </w:p>
    <w:p>
      <w:pPr>
        <w:keepNext w:val="0"/>
        <w:keepLines w:val="0"/>
        <w:pageBreakBefore w:val="0"/>
        <w:widowControl w:val="0"/>
        <w:kinsoku/>
        <w:wordWrap/>
        <w:overflowPunct/>
        <w:topLinePunct w:val="0"/>
        <w:autoSpaceDE w:val="0"/>
        <w:autoSpaceDN w:val="0"/>
        <w:bidi w:val="0"/>
        <w:adjustRightInd/>
        <w:snapToGrid/>
        <w:spacing w:before="48" w:line="216" w:lineRule="auto"/>
        <w:ind w:firstLine="424" w:firstLineChars="200"/>
        <w:jc w:val="both"/>
        <w:textAlignment w:val="auto"/>
        <w:rPr>
          <w:rFonts w:ascii="宋体" w:hAnsi="宋体" w:eastAsia="宋体" w:cs="宋体"/>
          <w:sz w:val="21"/>
          <w:szCs w:val="21"/>
        </w:rPr>
      </w:pPr>
      <w:r>
        <w:rPr>
          <w:rFonts w:ascii="宋体" w:hAnsi="宋体" w:eastAsia="宋体" w:cs="宋体"/>
          <w:spacing w:val="1"/>
          <w:sz w:val="21"/>
          <w:szCs w:val="21"/>
        </w:rPr>
        <w:t>包装后的桃在12小时内运至冷藏库内，运输温度4～6</w:t>
      </w:r>
      <w:r>
        <w:rPr>
          <w:rFonts w:ascii="宋体" w:hAnsi="宋体" w:eastAsia="宋体" w:cs="宋体"/>
          <w:spacing w:val="38"/>
          <w:sz w:val="21"/>
          <w:szCs w:val="21"/>
        </w:rPr>
        <w:t xml:space="preserve"> </w:t>
      </w:r>
      <w:r>
        <w:rPr>
          <w:rFonts w:ascii="宋体" w:hAnsi="宋体" w:eastAsia="宋体" w:cs="宋体"/>
          <w:spacing w:val="1"/>
          <w:sz w:val="21"/>
          <w:szCs w:val="21"/>
        </w:rPr>
        <w:t>℃,贮藏温度0～3</w:t>
      </w:r>
      <w:r>
        <w:rPr>
          <w:rFonts w:ascii="宋体" w:hAnsi="宋体" w:eastAsia="宋体" w:cs="宋体"/>
          <w:spacing w:val="32"/>
          <w:sz w:val="21"/>
          <w:szCs w:val="21"/>
        </w:rPr>
        <w:t xml:space="preserve"> </w:t>
      </w:r>
      <w:r>
        <w:rPr>
          <w:rFonts w:ascii="宋体" w:hAnsi="宋体" w:eastAsia="宋体" w:cs="宋体"/>
          <w:spacing w:val="1"/>
          <w:sz w:val="21"/>
          <w:szCs w:val="21"/>
        </w:rPr>
        <w:t>℃时，保存期为2～3 周。</w:t>
      </w:r>
    </w:p>
    <w:p>
      <w:pPr>
        <w:spacing w:line="216" w:lineRule="auto"/>
        <w:rPr>
          <w:rFonts w:ascii="宋体" w:hAnsi="宋体" w:eastAsia="宋体" w:cs="宋体"/>
          <w:sz w:val="21"/>
          <w:szCs w:val="21"/>
        </w:rPr>
      </w:pPr>
    </w:p>
    <w:p>
      <w:pPr>
        <w:spacing w:line="216" w:lineRule="auto"/>
        <w:jc w:val="center"/>
        <w:rPr>
          <w:rFonts w:ascii="宋体" w:hAnsi="宋体" w:eastAsia="宋体" w:cs="宋体"/>
          <w:sz w:val="21"/>
          <w:szCs w:val="21"/>
        </w:rPr>
      </w:pPr>
    </w:p>
    <w:p>
      <w:pPr>
        <w:spacing w:line="216" w:lineRule="auto"/>
        <w:jc w:val="center"/>
        <w:rPr>
          <w:rFonts w:ascii="宋体" w:hAnsi="宋体" w:eastAsia="宋体" w:cs="宋体"/>
          <w:sz w:val="21"/>
          <w:szCs w:val="21"/>
        </w:rPr>
      </w:pPr>
    </w:p>
    <w:p>
      <w:pPr>
        <w:spacing w:line="216" w:lineRule="auto"/>
        <w:jc w:val="center"/>
        <w:rPr>
          <w:rFonts w:ascii="宋体" w:hAnsi="宋体" w:eastAsia="宋体" w:cs="宋体"/>
          <w:sz w:val="21"/>
          <w:szCs w:val="21"/>
        </w:rPr>
      </w:pPr>
    </w:p>
    <w:p>
      <w:pPr>
        <w:spacing w:line="216" w:lineRule="auto"/>
        <w:jc w:val="center"/>
        <w:rPr>
          <w:rFonts w:ascii="宋体" w:hAnsi="宋体" w:eastAsia="宋体" w:cs="宋体"/>
          <w:sz w:val="21"/>
          <w:szCs w:val="21"/>
        </w:rPr>
      </w:pPr>
    </w:p>
    <w:p>
      <w:pPr>
        <w:spacing w:line="216" w:lineRule="auto"/>
        <w:jc w:val="center"/>
        <w:rPr>
          <w:rFonts w:ascii="宋体" w:hAnsi="宋体" w:eastAsia="宋体" w:cs="宋体"/>
          <w:sz w:val="21"/>
          <w:szCs w:val="21"/>
        </w:rPr>
      </w:pPr>
    </w:p>
    <w:p>
      <w:pPr>
        <w:spacing w:line="216" w:lineRule="auto"/>
        <w:jc w:val="center"/>
        <w:rPr>
          <w:rFonts w:ascii="宋体" w:hAnsi="宋体" w:eastAsia="宋体" w:cs="宋体"/>
          <w:sz w:val="21"/>
          <w:szCs w:val="21"/>
        </w:rPr>
      </w:pPr>
    </w:p>
    <w:p>
      <w:pPr>
        <w:spacing w:line="216" w:lineRule="auto"/>
        <w:jc w:val="center"/>
        <w:rPr>
          <w:rFonts w:ascii="宋体" w:hAnsi="宋体" w:eastAsia="宋体" w:cs="宋体"/>
          <w:sz w:val="21"/>
          <w:szCs w:val="21"/>
        </w:rPr>
      </w:pPr>
    </w:p>
    <w:p>
      <w:pPr>
        <w:spacing w:line="216" w:lineRule="auto"/>
        <w:jc w:val="center"/>
        <w:rPr>
          <w:rFonts w:ascii="宋体" w:hAnsi="宋体" w:eastAsia="宋体" w:cs="宋体"/>
          <w:sz w:val="21"/>
          <w:szCs w:val="21"/>
        </w:rPr>
      </w:pPr>
    </w:p>
    <w:p>
      <w:pPr>
        <w:spacing w:line="216" w:lineRule="auto"/>
        <w:jc w:val="center"/>
        <w:rPr>
          <w:rFonts w:ascii="宋体" w:hAnsi="宋体" w:eastAsia="宋体" w:cs="宋体"/>
          <w:sz w:val="21"/>
          <w:szCs w:val="21"/>
        </w:rPr>
      </w:pPr>
    </w:p>
    <w:p>
      <w:pPr>
        <w:spacing w:line="216" w:lineRule="auto"/>
        <w:jc w:val="center"/>
        <w:rPr>
          <w:rFonts w:ascii="宋体" w:hAnsi="宋体" w:eastAsia="宋体" w:cs="宋体"/>
          <w:sz w:val="21"/>
          <w:szCs w:val="21"/>
        </w:rPr>
      </w:pPr>
    </w:p>
    <w:p>
      <w:pPr>
        <w:spacing w:line="216" w:lineRule="auto"/>
        <w:jc w:val="center"/>
        <w:rPr>
          <w:rFonts w:ascii="宋体" w:hAnsi="宋体" w:eastAsia="宋体" w:cs="宋体"/>
          <w:sz w:val="21"/>
          <w:szCs w:val="21"/>
        </w:rPr>
      </w:pPr>
    </w:p>
    <w:p>
      <w:pPr>
        <w:spacing w:line="216" w:lineRule="auto"/>
        <w:jc w:val="center"/>
        <w:rPr>
          <w:rFonts w:ascii="宋体" w:hAnsi="宋体" w:eastAsia="宋体" w:cs="宋体"/>
          <w:sz w:val="21"/>
          <w:szCs w:val="21"/>
        </w:rPr>
      </w:pPr>
    </w:p>
    <w:p>
      <w:pPr>
        <w:spacing w:line="216" w:lineRule="auto"/>
        <w:jc w:val="center"/>
        <w:rPr>
          <w:rFonts w:ascii="宋体" w:hAnsi="宋体" w:eastAsia="宋体" w:cs="宋体"/>
          <w:sz w:val="21"/>
          <w:szCs w:val="21"/>
        </w:rPr>
      </w:pPr>
    </w:p>
    <w:p>
      <w:pPr>
        <w:spacing w:line="216" w:lineRule="auto"/>
        <w:jc w:val="center"/>
        <w:rPr>
          <w:rFonts w:ascii="宋体" w:hAnsi="宋体" w:eastAsia="宋体" w:cs="宋体"/>
          <w:sz w:val="21"/>
          <w:szCs w:val="21"/>
        </w:rPr>
      </w:pPr>
    </w:p>
    <w:p>
      <w:pPr>
        <w:spacing w:line="216" w:lineRule="auto"/>
        <w:jc w:val="center"/>
        <w:rPr>
          <w:rFonts w:ascii="宋体" w:hAnsi="宋体" w:eastAsia="宋体" w:cs="宋体"/>
          <w:sz w:val="21"/>
          <w:szCs w:val="21"/>
        </w:rPr>
      </w:pPr>
    </w:p>
    <w:p>
      <w:pPr>
        <w:spacing w:line="216" w:lineRule="auto"/>
        <w:jc w:val="center"/>
        <w:rPr>
          <w:rFonts w:ascii="宋体" w:hAnsi="宋体" w:eastAsia="宋体" w:cs="宋体"/>
          <w:sz w:val="21"/>
          <w:szCs w:val="21"/>
        </w:rPr>
      </w:pPr>
    </w:p>
    <w:p>
      <w:pPr>
        <w:spacing w:line="216" w:lineRule="auto"/>
        <w:jc w:val="center"/>
        <w:rPr>
          <w:rFonts w:ascii="宋体" w:hAnsi="宋体" w:eastAsia="宋体" w:cs="宋体"/>
          <w:sz w:val="21"/>
          <w:szCs w:val="21"/>
        </w:rPr>
      </w:pPr>
    </w:p>
    <w:p>
      <w:pPr>
        <w:spacing w:line="216" w:lineRule="auto"/>
        <w:jc w:val="center"/>
        <w:rPr>
          <w:rFonts w:ascii="宋体" w:hAnsi="宋体" w:eastAsia="宋体" w:cs="宋体"/>
          <w:sz w:val="21"/>
          <w:szCs w:val="21"/>
        </w:rPr>
      </w:pPr>
    </w:p>
    <w:p>
      <w:pPr>
        <w:spacing w:line="216" w:lineRule="auto"/>
        <w:jc w:val="center"/>
        <w:rPr>
          <w:rFonts w:ascii="宋体" w:hAnsi="宋体" w:eastAsia="宋体" w:cs="宋体"/>
          <w:sz w:val="21"/>
          <w:szCs w:val="21"/>
        </w:rPr>
      </w:pPr>
    </w:p>
    <w:p>
      <w:pPr>
        <w:spacing w:line="216" w:lineRule="auto"/>
        <w:jc w:val="center"/>
        <w:rPr>
          <w:rFonts w:ascii="宋体" w:hAnsi="宋体" w:eastAsia="宋体" w:cs="宋体"/>
          <w:sz w:val="21"/>
          <w:szCs w:val="21"/>
        </w:rPr>
      </w:pPr>
    </w:p>
    <w:p>
      <w:pPr>
        <w:spacing w:line="216" w:lineRule="auto"/>
        <w:jc w:val="center"/>
        <w:rPr>
          <w:rFonts w:ascii="宋体" w:hAnsi="宋体" w:eastAsia="宋体" w:cs="宋体"/>
          <w:sz w:val="21"/>
          <w:szCs w:val="21"/>
        </w:rPr>
      </w:pPr>
    </w:p>
    <w:p>
      <w:pPr>
        <w:spacing w:line="216" w:lineRule="auto"/>
        <w:jc w:val="center"/>
        <w:rPr>
          <w:rFonts w:ascii="宋体" w:hAnsi="宋体" w:eastAsia="宋体" w:cs="宋体"/>
          <w:sz w:val="21"/>
          <w:szCs w:val="21"/>
        </w:rPr>
      </w:pPr>
    </w:p>
    <w:p>
      <w:pPr>
        <w:spacing w:line="216" w:lineRule="auto"/>
        <w:jc w:val="center"/>
        <w:rPr>
          <w:rFonts w:ascii="宋体" w:hAnsi="宋体" w:eastAsia="宋体" w:cs="宋体"/>
          <w:sz w:val="21"/>
          <w:szCs w:val="21"/>
        </w:rPr>
      </w:pPr>
    </w:p>
    <w:p>
      <w:pPr>
        <w:spacing w:line="216" w:lineRule="auto"/>
        <w:jc w:val="center"/>
        <w:rPr>
          <w:rFonts w:ascii="宋体" w:hAnsi="宋体" w:eastAsia="宋体" w:cs="宋体"/>
          <w:sz w:val="21"/>
          <w:szCs w:val="21"/>
        </w:rPr>
      </w:pPr>
    </w:p>
    <w:p>
      <w:pPr>
        <w:spacing w:line="216" w:lineRule="auto"/>
        <w:jc w:val="center"/>
        <w:rPr>
          <w:rFonts w:ascii="宋体" w:hAnsi="宋体" w:eastAsia="宋体" w:cs="宋体"/>
          <w:sz w:val="21"/>
          <w:szCs w:val="21"/>
        </w:rPr>
      </w:pPr>
    </w:p>
    <w:p>
      <w:pPr>
        <w:spacing w:line="216" w:lineRule="auto"/>
        <w:jc w:val="center"/>
        <w:rPr>
          <w:rFonts w:ascii="宋体" w:hAnsi="宋体" w:eastAsia="宋体" w:cs="宋体"/>
          <w:sz w:val="21"/>
          <w:szCs w:val="21"/>
        </w:rPr>
      </w:pPr>
    </w:p>
    <w:p>
      <w:pPr>
        <w:spacing w:line="216" w:lineRule="auto"/>
        <w:jc w:val="center"/>
        <w:rPr>
          <w:rFonts w:ascii="宋体" w:hAnsi="宋体" w:eastAsia="宋体" w:cs="宋体"/>
          <w:sz w:val="21"/>
          <w:szCs w:val="21"/>
        </w:rPr>
      </w:pPr>
    </w:p>
    <w:p>
      <w:pPr>
        <w:spacing w:line="216" w:lineRule="auto"/>
        <w:jc w:val="center"/>
        <w:rPr>
          <w:rFonts w:ascii="宋体" w:hAnsi="宋体" w:eastAsia="宋体" w:cs="宋体"/>
          <w:sz w:val="21"/>
          <w:szCs w:val="21"/>
        </w:rPr>
      </w:pPr>
    </w:p>
    <w:p>
      <w:pPr>
        <w:pStyle w:val="4"/>
        <w:spacing w:before="71" w:line="320" w:lineRule="exact"/>
        <w:ind w:left="0" w:leftChars="0" w:firstLine="0" w:firstLineChars="0"/>
        <w:jc w:val="center"/>
        <w:rPr>
          <w:rFonts w:ascii="Arial" w:hAnsi="Arial" w:eastAsia="Arial" w:cs="Arial"/>
          <w:sz w:val="22"/>
          <w:szCs w:val="22"/>
        </w:rPr>
      </w:pPr>
      <w:r>
        <w:rPr>
          <w:spacing w:val="-11"/>
          <w:position w:val="7"/>
          <w:sz w:val="22"/>
          <w:szCs w:val="22"/>
        </w:rPr>
        <w:t>附</w:t>
      </w:r>
      <w:r>
        <w:rPr>
          <w:spacing w:val="93"/>
          <w:position w:val="7"/>
          <w:sz w:val="22"/>
          <w:szCs w:val="22"/>
        </w:rPr>
        <w:t xml:space="preserve"> </w:t>
      </w:r>
      <w:r>
        <w:rPr>
          <w:spacing w:val="-11"/>
          <w:position w:val="7"/>
          <w:sz w:val="22"/>
          <w:szCs w:val="22"/>
        </w:rPr>
        <w:t>录</w:t>
      </w:r>
      <w:r>
        <w:rPr>
          <w:spacing w:val="89"/>
          <w:position w:val="7"/>
          <w:sz w:val="22"/>
          <w:szCs w:val="22"/>
        </w:rPr>
        <w:t xml:space="preserve"> </w:t>
      </w:r>
      <w:r>
        <w:rPr>
          <w:rFonts w:ascii="Arial" w:hAnsi="Arial" w:eastAsia="Arial" w:cs="Arial"/>
          <w:spacing w:val="-11"/>
          <w:position w:val="7"/>
          <w:sz w:val="22"/>
          <w:szCs w:val="22"/>
        </w:rPr>
        <w:t>A</w:t>
      </w:r>
    </w:p>
    <w:p>
      <w:pPr>
        <w:pStyle w:val="4"/>
        <w:spacing w:line="221" w:lineRule="auto"/>
        <w:ind w:left="0" w:leftChars="0" w:firstLine="0" w:firstLineChars="0"/>
        <w:jc w:val="center"/>
        <w:rPr>
          <w:sz w:val="22"/>
          <w:szCs w:val="22"/>
        </w:rPr>
      </w:pPr>
      <w:r>
        <w:rPr>
          <w:spacing w:val="-7"/>
          <w:sz w:val="22"/>
          <w:szCs w:val="22"/>
        </w:rPr>
        <w:t>(规范性附录)</w:t>
      </w:r>
    </w:p>
    <w:p>
      <w:pPr>
        <w:pStyle w:val="4"/>
        <w:spacing w:before="41" w:line="221" w:lineRule="auto"/>
        <w:ind w:left="0" w:leftChars="0" w:firstLine="0" w:firstLineChars="0"/>
        <w:jc w:val="center"/>
        <w:rPr>
          <w:sz w:val="22"/>
          <w:szCs w:val="22"/>
        </w:rPr>
      </w:pPr>
      <w:r>
        <w:rPr>
          <w:b/>
          <w:bCs/>
          <w:spacing w:val="-16"/>
          <w:sz w:val="22"/>
          <w:szCs w:val="22"/>
        </w:rPr>
        <w:t>无锡水蜜桃主要品种分类</w:t>
      </w:r>
    </w:p>
    <w:p>
      <w:pPr>
        <w:spacing w:line="313" w:lineRule="auto"/>
        <w:rPr>
          <w:rFonts w:ascii="Arial"/>
          <w:sz w:val="21"/>
        </w:rPr>
      </w:pPr>
    </w:p>
    <w:p>
      <w:pPr>
        <w:pStyle w:val="4"/>
        <w:spacing w:before="72" w:line="221" w:lineRule="auto"/>
        <w:ind w:left="0" w:leftChars="0" w:firstLine="0" w:firstLineChars="0"/>
        <w:rPr>
          <w:rFonts w:hint="eastAsia" w:ascii="黑体" w:hAnsi="黑体" w:eastAsia="黑体" w:cs="黑体"/>
          <w:b w:val="0"/>
          <w:bCs w:val="0"/>
          <w:sz w:val="21"/>
          <w:szCs w:val="21"/>
        </w:rPr>
      </w:pPr>
      <w:r>
        <w:rPr>
          <w:rFonts w:hint="eastAsia" w:ascii="黑体" w:hAnsi="黑体" w:eastAsia="黑体" w:cs="黑体"/>
          <w:b w:val="0"/>
          <w:bCs w:val="0"/>
          <w:spacing w:val="-11"/>
          <w:sz w:val="21"/>
          <w:szCs w:val="21"/>
        </w:rPr>
        <w:t>A.1  无锡水蜜桃主要品种分类</w:t>
      </w:r>
    </w:p>
    <w:p>
      <w:pPr>
        <w:spacing w:line="308" w:lineRule="auto"/>
        <w:rPr>
          <w:rFonts w:hint="eastAsia" w:asciiTheme="minorEastAsia" w:hAnsiTheme="minorEastAsia" w:eastAsiaTheme="minorEastAsia" w:cstheme="minorEastAsia"/>
          <w:b w:val="0"/>
          <w:bCs w:val="0"/>
          <w:sz w:val="21"/>
          <w:szCs w:val="21"/>
        </w:rPr>
      </w:pPr>
    </w:p>
    <w:p>
      <w:pPr>
        <w:spacing w:before="72" w:line="219" w:lineRule="auto"/>
        <w:rPr>
          <w:rFonts w:hint="eastAsia" w:asciiTheme="minorEastAsia" w:hAnsiTheme="minorEastAsia" w:eastAsiaTheme="minorEastAsia" w:cstheme="minorEastAsia"/>
          <w:b w:val="0"/>
          <w:bCs w:val="0"/>
          <w:sz w:val="21"/>
          <w:szCs w:val="21"/>
        </w:rPr>
      </w:pPr>
      <w:r>
        <w:rPr>
          <w:rFonts w:hint="eastAsia" w:ascii="黑体" w:hAnsi="黑体" w:eastAsia="黑体" w:cs="黑体"/>
          <w:b w:val="0"/>
          <w:bCs w:val="0"/>
          <w:spacing w:val="-5"/>
          <w:sz w:val="21"/>
          <w:szCs w:val="21"/>
        </w:rPr>
        <w:t>A.1.1</w:t>
      </w:r>
      <w:r>
        <w:rPr>
          <w:rFonts w:hint="eastAsia" w:asciiTheme="minorEastAsia" w:hAnsiTheme="minorEastAsia" w:eastAsiaTheme="minorEastAsia" w:cstheme="minorEastAsia"/>
          <w:b w:val="0"/>
          <w:bCs w:val="0"/>
          <w:spacing w:val="-5"/>
          <w:sz w:val="21"/>
          <w:szCs w:val="21"/>
        </w:rPr>
        <w:t xml:space="preserve">  无锡水蜜桃主要品种的性</w:t>
      </w:r>
      <w:r>
        <w:rPr>
          <w:rFonts w:hint="eastAsia" w:asciiTheme="minorEastAsia" w:hAnsiTheme="minorEastAsia" w:eastAsiaTheme="minorEastAsia" w:cstheme="minorEastAsia"/>
          <w:b w:val="0"/>
          <w:bCs w:val="0"/>
          <w:spacing w:val="-6"/>
          <w:sz w:val="21"/>
          <w:szCs w:val="21"/>
        </w:rPr>
        <w:t>状及理化指标见表A.1。</w:t>
      </w:r>
    </w:p>
    <w:p>
      <w:pPr>
        <w:pStyle w:val="4"/>
        <w:spacing w:before="194" w:line="221" w:lineRule="auto"/>
        <w:ind w:left="2533"/>
        <w:rPr>
          <w:sz w:val="22"/>
          <w:szCs w:val="22"/>
        </w:rPr>
      </w:pPr>
      <w:r>
        <w:rPr>
          <w:b/>
          <w:bCs/>
          <w:spacing w:val="-10"/>
          <w:sz w:val="22"/>
          <w:szCs w:val="22"/>
        </w:rPr>
        <w:t>表</w:t>
      </w:r>
      <w:r>
        <w:rPr>
          <w:rFonts w:ascii="宋体" w:hAnsi="宋体" w:eastAsia="宋体" w:cs="宋体"/>
          <w:b/>
          <w:bCs/>
          <w:spacing w:val="-10"/>
          <w:sz w:val="22"/>
          <w:szCs w:val="22"/>
        </w:rPr>
        <w:t>A.1</w:t>
      </w:r>
      <w:r>
        <w:rPr>
          <w:rFonts w:ascii="宋体" w:hAnsi="宋体" w:eastAsia="宋体" w:cs="宋体"/>
          <w:spacing w:val="110"/>
          <w:sz w:val="22"/>
          <w:szCs w:val="22"/>
        </w:rPr>
        <w:t xml:space="preserve"> </w:t>
      </w:r>
      <w:r>
        <w:rPr>
          <w:b/>
          <w:bCs/>
          <w:spacing w:val="-10"/>
          <w:sz w:val="22"/>
          <w:szCs w:val="22"/>
        </w:rPr>
        <w:t>无锡水蜜桃主要品种的性状及理化指标</w:t>
      </w:r>
    </w:p>
    <w:p>
      <w:pPr>
        <w:spacing w:line="157" w:lineRule="exact"/>
      </w:pPr>
    </w:p>
    <w:tbl>
      <w:tblPr>
        <w:tblStyle w:val="12"/>
        <w:tblW w:w="9320" w:type="dxa"/>
        <w:tblInd w:w="4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4"/>
        <w:gridCol w:w="839"/>
        <w:gridCol w:w="839"/>
        <w:gridCol w:w="2098"/>
        <w:gridCol w:w="1668"/>
        <w:gridCol w:w="1149"/>
        <w:gridCol w:w="17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4" w:hRule="atLeast"/>
        </w:trPr>
        <w:tc>
          <w:tcPr>
            <w:tcW w:w="944" w:type="dxa"/>
            <w:vAlign w:val="top"/>
          </w:tcPr>
          <w:p>
            <w:pPr>
              <w:pStyle w:val="39"/>
              <w:spacing w:before="72" w:line="220" w:lineRule="auto"/>
              <w:ind w:left="285"/>
            </w:pPr>
            <w:r>
              <w:rPr>
                <w:spacing w:val="6"/>
              </w:rPr>
              <w:t>品种</w:t>
            </w:r>
          </w:p>
        </w:tc>
        <w:tc>
          <w:tcPr>
            <w:tcW w:w="839" w:type="dxa"/>
            <w:vAlign w:val="top"/>
          </w:tcPr>
          <w:p>
            <w:pPr>
              <w:pStyle w:val="39"/>
              <w:spacing w:before="72" w:line="220" w:lineRule="auto"/>
              <w:ind w:left="231"/>
            </w:pPr>
            <w:r>
              <w:rPr>
                <w:spacing w:val="-3"/>
              </w:rPr>
              <w:t>果形</w:t>
            </w:r>
          </w:p>
        </w:tc>
        <w:tc>
          <w:tcPr>
            <w:tcW w:w="839" w:type="dxa"/>
            <w:vAlign w:val="top"/>
          </w:tcPr>
          <w:p>
            <w:pPr>
              <w:pStyle w:val="39"/>
              <w:spacing w:before="73" w:line="221" w:lineRule="auto"/>
              <w:ind w:left="232"/>
            </w:pPr>
            <w:r>
              <w:rPr>
                <w:spacing w:val="-2"/>
              </w:rPr>
              <w:t>底色</w:t>
            </w:r>
          </w:p>
        </w:tc>
        <w:tc>
          <w:tcPr>
            <w:tcW w:w="2098" w:type="dxa"/>
            <w:vAlign w:val="top"/>
          </w:tcPr>
          <w:p>
            <w:pPr>
              <w:pStyle w:val="39"/>
              <w:spacing w:before="72" w:line="220" w:lineRule="auto"/>
              <w:ind w:left="863"/>
            </w:pPr>
            <w:r>
              <w:rPr>
                <w:spacing w:val="-3"/>
              </w:rPr>
              <w:t>色泽</w:t>
            </w:r>
          </w:p>
        </w:tc>
        <w:tc>
          <w:tcPr>
            <w:tcW w:w="1668" w:type="dxa"/>
            <w:vAlign w:val="top"/>
          </w:tcPr>
          <w:p>
            <w:pPr>
              <w:pStyle w:val="39"/>
              <w:spacing w:before="66" w:line="214" w:lineRule="auto"/>
              <w:ind w:left="245"/>
            </w:pPr>
            <w:r>
              <w:rPr>
                <w:spacing w:val="4"/>
              </w:rPr>
              <w:t>平均单果重(g)</w:t>
            </w:r>
          </w:p>
        </w:tc>
        <w:tc>
          <w:tcPr>
            <w:tcW w:w="1149" w:type="dxa"/>
            <w:vAlign w:val="top"/>
          </w:tcPr>
          <w:p>
            <w:pPr>
              <w:pStyle w:val="39"/>
              <w:spacing w:before="72" w:line="219" w:lineRule="auto"/>
              <w:ind w:left="207"/>
            </w:pPr>
            <w:r>
              <w:rPr>
                <w:spacing w:val="2"/>
              </w:rPr>
              <w:t>果肉类型</w:t>
            </w:r>
          </w:p>
        </w:tc>
        <w:tc>
          <w:tcPr>
            <w:tcW w:w="1783" w:type="dxa"/>
            <w:vAlign w:val="top"/>
          </w:tcPr>
          <w:p>
            <w:pPr>
              <w:pStyle w:val="39"/>
              <w:spacing w:before="72" w:line="220" w:lineRule="auto"/>
              <w:ind w:left="207"/>
            </w:pPr>
            <w:r>
              <w:rPr>
                <w:spacing w:val="4"/>
              </w:rPr>
              <w:t>可溶性固形物(%)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44" w:type="dxa"/>
            <w:vAlign w:val="top"/>
          </w:tcPr>
          <w:p>
            <w:pPr>
              <w:pStyle w:val="39"/>
              <w:spacing w:before="78" w:line="220" w:lineRule="auto"/>
              <w:ind w:left="195"/>
            </w:pPr>
            <w:r>
              <w:rPr>
                <w:spacing w:val="2"/>
              </w:rPr>
              <w:t>晖雨露</w:t>
            </w:r>
          </w:p>
        </w:tc>
        <w:tc>
          <w:tcPr>
            <w:tcW w:w="839" w:type="dxa"/>
            <w:vAlign w:val="top"/>
          </w:tcPr>
          <w:p>
            <w:pPr>
              <w:pStyle w:val="39"/>
              <w:spacing w:before="79" w:line="221" w:lineRule="auto"/>
              <w:ind w:left="231"/>
            </w:pPr>
            <w:r>
              <w:rPr>
                <w:spacing w:val="4"/>
              </w:rPr>
              <w:t>圆形</w:t>
            </w:r>
          </w:p>
        </w:tc>
        <w:tc>
          <w:tcPr>
            <w:tcW w:w="839" w:type="dxa"/>
            <w:vAlign w:val="top"/>
          </w:tcPr>
          <w:p>
            <w:pPr>
              <w:pStyle w:val="39"/>
              <w:spacing w:before="79" w:line="221" w:lineRule="auto"/>
              <w:ind w:left="232"/>
            </w:pPr>
            <w:r>
              <w:rPr>
                <w:spacing w:val="11"/>
              </w:rPr>
              <w:t>乳白</w:t>
            </w:r>
          </w:p>
        </w:tc>
        <w:tc>
          <w:tcPr>
            <w:tcW w:w="2098" w:type="dxa"/>
            <w:vAlign w:val="top"/>
          </w:tcPr>
          <w:p>
            <w:pPr>
              <w:pStyle w:val="39"/>
              <w:spacing w:before="78" w:line="220" w:lineRule="auto"/>
              <w:ind w:left="683"/>
            </w:pPr>
            <w:r>
              <w:rPr>
                <w:spacing w:val="-2"/>
              </w:rPr>
              <w:t>玫瑰红晕</w:t>
            </w:r>
          </w:p>
        </w:tc>
        <w:tc>
          <w:tcPr>
            <w:tcW w:w="1668" w:type="dxa"/>
            <w:vAlign w:val="top"/>
          </w:tcPr>
          <w:p>
            <w:pPr>
              <w:pStyle w:val="39"/>
              <w:spacing w:before="123" w:line="184" w:lineRule="auto"/>
              <w:ind w:left="695"/>
            </w:pPr>
            <w:r>
              <w:rPr>
                <w:spacing w:val="-5"/>
              </w:rPr>
              <w:t>125</w:t>
            </w:r>
          </w:p>
        </w:tc>
        <w:tc>
          <w:tcPr>
            <w:tcW w:w="1149" w:type="dxa"/>
            <w:vAlign w:val="top"/>
          </w:tcPr>
          <w:p>
            <w:pPr>
              <w:pStyle w:val="39"/>
              <w:spacing w:before="78" w:line="220" w:lineRule="auto"/>
              <w:ind w:left="387"/>
            </w:pPr>
            <w:r>
              <w:rPr>
                <w:spacing w:val="10"/>
              </w:rPr>
              <w:t>溶质</w:t>
            </w:r>
          </w:p>
        </w:tc>
        <w:tc>
          <w:tcPr>
            <w:tcW w:w="1783" w:type="dxa"/>
            <w:vAlign w:val="top"/>
          </w:tcPr>
          <w:p>
            <w:pPr>
              <w:pStyle w:val="39"/>
              <w:spacing w:before="123" w:line="184" w:lineRule="auto"/>
              <w:ind w:left="708"/>
            </w:pPr>
            <w:r>
              <w:rPr>
                <w:spacing w:val="-4"/>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944" w:type="dxa"/>
            <w:vAlign w:val="top"/>
          </w:tcPr>
          <w:p>
            <w:pPr>
              <w:pStyle w:val="39"/>
              <w:spacing w:before="69" w:line="219" w:lineRule="auto"/>
              <w:ind w:left="55"/>
            </w:pPr>
            <w:r>
              <w:rPr>
                <w:spacing w:val="-10"/>
              </w:rPr>
              <w:t>霞晖</w:t>
            </w:r>
            <w:r>
              <w:rPr>
                <w:spacing w:val="1"/>
              </w:rPr>
              <w:t xml:space="preserve"> </w:t>
            </w:r>
            <w:r>
              <w:rPr>
                <w:spacing w:val="-10"/>
              </w:rPr>
              <w:t>1 号</w:t>
            </w:r>
          </w:p>
        </w:tc>
        <w:tc>
          <w:tcPr>
            <w:tcW w:w="839" w:type="dxa"/>
            <w:vAlign w:val="top"/>
          </w:tcPr>
          <w:p>
            <w:pPr>
              <w:pStyle w:val="39"/>
              <w:spacing w:before="70" w:line="221" w:lineRule="auto"/>
              <w:ind w:left="231"/>
            </w:pPr>
            <w:r>
              <w:rPr>
                <w:spacing w:val="4"/>
              </w:rPr>
              <w:t>圆形</w:t>
            </w:r>
          </w:p>
        </w:tc>
        <w:tc>
          <w:tcPr>
            <w:tcW w:w="839" w:type="dxa"/>
            <w:vAlign w:val="top"/>
          </w:tcPr>
          <w:p>
            <w:pPr>
              <w:pStyle w:val="39"/>
              <w:spacing w:before="70" w:line="221" w:lineRule="auto"/>
              <w:ind w:left="232"/>
            </w:pPr>
            <w:r>
              <w:rPr>
                <w:spacing w:val="11"/>
              </w:rPr>
              <w:t>乳白</w:t>
            </w:r>
          </w:p>
        </w:tc>
        <w:tc>
          <w:tcPr>
            <w:tcW w:w="2098" w:type="dxa"/>
            <w:vAlign w:val="top"/>
          </w:tcPr>
          <w:p>
            <w:pPr>
              <w:pStyle w:val="39"/>
              <w:spacing w:before="69" w:line="219" w:lineRule="auto"/>
              <w:ind w:left="413"/>
            </w:pPr>
            <w:r>
              <w:rPr>
                <w:spacing w:val="-1"/>
              </w:rPr>
              <w:t>顶部有玫瑰红晕</w:t>
            </w:r>
          </w:p>
        </w:tc>
        <w:tc>
          <w:tcPr>
            <w:tcW w:w="1668" w:type="dxa"/>
            <w:vAlign w:val="top"/>
          </w:tcPr>
          <w:p>
            <w:pPr>
              <w:pStyle w:val="39"/>
              <w:spacing w:before="114" w:line="184" w:lineRule="auto"/>
              <w:ind w:left="695"/>
            </w:pPr>
            <w:r>
              <w:rPr>
                <w:spacing w:val="-5"/>
              </w:rPr>
              <w:t>150</w:t>
            </w:r>
          </w:p>
        </w:tc>
        <w:tc>
          <w:tcPr>
            <w:tcW w:w="1149" w:type="dxa"/>
            <w:vAlign w:val="top"/>
          </w:tcPr>
          <w:p>
            <w:pPr>
              <w:pStyle w:val="39"/>
              <w:spacing w:before="69" w:line="220" w:lineRule="auto"/>
              <w:ind w:left="387"/>
            </w:pPr>
            <w:r>
              <w:rPr>
                <w:spacing w:val="10"/>
              </w:rPr>
              <w:t>溶质</w:t>
            </w:r>
          </w:p>
        </w:tc>
        <w:tc>
          <w:tcPr>
            <w:tcW w:w="1783" w:type="dxa"/>
            <w:vAlign w:val="top"/>
          </w:tcPr>
          <w:p>
            <w:pPr>
              <w:pStyle w:val="39"/>
              <w:spacing w:before="114" w:line="184" w:lineRule="auto"/>
              <w:ind w:left="708"/>
            </w:pPr>
            <w:r>
              <w:rPr>
                <w:spacing w:val="-4"/>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atLeast"/>
        </w:trPr>
        <w:tc>
          <w:tcPr>
            <w:tcW w:w="944" w:type="dxa"/>
            <w:vAlign w:val="top"/>
          </w:tcPr>
          <w:p>
            <w:pPr>
              <w:pStyle w:val="39"/>
              <w:spacing w:before="69" w:line="220" w:lineRule="auto"/>
              <w:ind w:left="195"/>
            </w:pPr>
            <w:r>
              <w:rPr>
                <w:spacing w:val="2"/>
              </w:rPr>
              <w:t>雨花露</w:t>
            </w:r>
          </w:p>
        </w:tc>
        <w:tc>
          <w:tcPr>
            <w:tcW w:w="839" w:type="dxa"/>
            <w:vAlign w:val="top"/>
          </w:tcPr>
          <w:p>
            <w:pPr>
              <w:pStyle w:val="39"/>
              <w:spacing w:before="70" w:line="221" w:lineRule="auto"/>
              <w:ind w:left="231"/>
            </w:pPr>
            <w:r>
              <w:rPr>
                <w:spacing w:val="4"/>
              </w:rPr>
              <w:t>圆形</w:t>
            </w:r>
          </w:p>
        </w:tc>
        <w:tc>
          <w:tcPr>
            <w:tcW w:w="839" w:type="dxa"/>
            <w:vAlign w:val="top"/>
          </w:tcPr>
          <w:p>
            <w:pPr>
              <w:pStyle w:val="39"/>
              <w:spacing w:before="70" w:line="221" w:lineRule="auto"/>
              <w:ind w:left="232"/>
            </w:pPr>
            <w:r>
              <w:rPr>
                <w:spacing w:val="11"/>
              </w:rPr>
              <w:t>乳白</w:t>
            </w:r>
          </w:p>
        </w:tc>
        <w:tc>
          <w:tcPr>
            <w:tcW w:w="2098" w:type="dxa"/>
            <w:vAlign w:val="top"/>
          </w:tcPr>
          <w:p>
            <w:pPr>
              <w:pStyle w:val="39"/>
              <w:spacing w:before="70" w:line="221" w:lineRule="auto"/>
              <w:ind w:left="593"/>
            </w:pPr>
            <w:r>
              <w:rPr>
                <w:spacing w:val="3"/>
              </w:rPr>
              <w:t>玫瑰红细点</w:t>
            </w:r>
          </w:p>
        </w:tc>
        <w:tc>
          <w:tcPr>
            <w:tcW w:w="1668" w:type="dxa"/>
            <w:vAlign w:val="top"/>
          </w:tcPr>
          <w:p>
            <w:pPr>
              <w:pStyle w:val="39"/>
              <w:spacing w:before="115" w:line="183" w:lineRule="auto"/>
              <w:ind w:left="695"/>
            </w:pPr>
            <w:r>
              <w:rPr>
                <w:spacing w:val="-3"/>
              </w:rPr>
              <w:t>200</w:t>
            </w:r>
          </w:p>
        </w:tc>
        <w:tc>
          <w:tcPr>
            <w:tcW w:w="1149" w:type="dxa"/>
            <w:vAlign w:val="top"/>
          </w:tcPr>
          <w:p>
            <w:pPr>
              <w:pStyle w:val="39"/>
              <w:spacing w:before="69" w:line="220" w:lineRule="auto"/>
              <w:ind w:left="387"/>
            </w:pPr>
            <w:r>
              <w:rPr>
                <w:spacing w:val="10"/>
              </w:rPr>
              <w:t>溶质</w:t>
            </w:r>
          </w:p>
        </w:tc>
        <w:tc>
          <w:tcPr>
            <w:tcW w:w="1783" w:type="dxa"/>
            <w:vAlign w:val="top"/>
          </w:tcPr>
          <w:p>
            <w:pPr>
              <w:pStyle w:val="39"/>
              <w:spacing w:before="114" w:line="184" w:lineRule="auto"/>
              <w:ind w:left="708"/>
            </w:pPr>
            <w:r>
              <w:rPr>
                <w:spacing w:val="-4"/>
              </w:rPr>
              <w:t>10.5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atLeast"/>
        </w:trPr>
        <w:tc>
          <w:tcPr>
            <w:tcW w:w="944" w:type="dxa"/>
            <w:vAlign w:val="top"/>
          </w:tcPr>
          <w:p>
            <w:pPr>
              <w:pStyle w:val="39"/>
              <w:spacing w:before="70" w:line="220" w:lineRule="auto"/>
              <w:ind w:left="195"/>
            </w:pPr>
            <w:r>
              <w:rPr>
                <w:spacing w:val="-2"/>
              </w:rPr>
              <w:t>银花露</w:t>
            </w:r>
          </w:p>
        </w:tc>
        <w:tc>
          <w:tcPr>
            <w:tcW w:w="839" w:type="dxa"/>
            <w:vAlign w:val="top"/>
          </w:tcPr>
          <w:p>
            <w:pPr>
              <w:pStyle w:val="39"/>
              <w:spacing w:before="71" w:line="221" w:lineRule="auto"/>
              <w:ind w:left="231"/>
            </w:pPr>
            <w:r>
              <w:rPr>
                <w:spacing w:val="4"/>
              </w:rPr>
              <w:t>圆形</w:t>
            </w:r>
          </w:p>
        </w:tc>
        <w:tc>
          <w:tcPr>
            <w:tcW w:w="839" w:type="dxa"/>
            <w:vAlign w:val="top"/>
          </w:tcPr>
          <w:p>
            <w:pPr>
              <w:pStyle w:val="39"/>
              <w:spacing w:before="70" w:line="219" w:lineRule="auto"/>
              <w:ind w:left="232"/>
            </w:pPr>
            <w:r>
              <w:rPr>
                <w:spacing w:val="-3"/>
              </w:rPr>
              <w:t>乳黄</w:t>
            </w:r>
          </w:p>
        </w:tc>
        <w:tc>
          <w:tcPr>
            <w:tcW w:w="2098" w:type="dxa"/>
            <w:vAlign w:val="top"/>
          </w:tcPr>
          <w:p>
            <w:pPr>
              <w:pStyle w:val="39"/>
              <w:spacing w:before="71" w:line="221" w:lineRule="auto"/>
              <w:ind w:left="593"/>
            </w:pPr>
            <w:r>
              <w:rPr>
                <w:spacing w:val="3"/>
              </w:rPr>
              <w:t>玫瑰红细点</w:t>
            </w:r>
          </w:p>
        </w:tc>
        <w:tc>
          <w:tcPr>
            <w:tcW w:w="1668" w:type="dxa"/>
            <w:vAlign w:val="top"/>
          </w:tcPr>
          <w:p>
            <w:pPr>
              <w:pStyle w:val="39"/>
              <w:spacing w:before="116" w:line="183" w:lineRule="auto"/>
              <w:ind w:left="695"/>
            </w:pPr>
            <w:r>
              <w:rPr>
                <w:spacing w:val="-3"/>
              </w:rPr>
              <w:t>200</w:t>
            </w:r>
          </w:p>
        </w:tc>
        <w:tc>
          <w:tcPr>
            <w:tcW w:w="1149" w:type="dxa"/>
            <w:vAlign w:val="top"/>
          </w:tcPr>
          <w:p>
            <w:pPr>
              <w:pStyle w:val="39"/>
              <w:spacing w:before="70" w:line="220" w:lineRule="auto"/>
              <w:ind w:left="387"/>
            </w:pPr>
            <w:r>
              <w:rPr>
                <w:spacing w:val="10"/>
              </w:rPr>
              <w:t>溶质</w:t>
            </w:r>
          </w:p>
        </w:tc>
        <w:tc>
          <w:tcPr>
            <w:tcW w:w="1783" w:type="dxa"/>
            <w:vAlign w:val="top"/>
          </w:tcPr>
          <w:p>
            <w:pPr>
              <w:pStyle w:val="39"/>
              <w:spacing w:before="115" w:line="184" w:lineRule="auto"/>
              <w:ind w:left="708"/>
            </w:pPr>
            <w:r>
              <w:rPr>
                <w:spacing w:val="-4"/>
              </w:rPr>
              <w:t>11.5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trPr>
        <w:tc>
          <w:tcPr>
            <w:tcW w:w="944" w:type="dxa"/>
            <w:vAlign w:val="top"/>
          </w:tcPr>
          <w:p>
            <w:pPr>
              <w:pStyle w:val="39"/>
              <w:spacing w:before="71" w:line="219" w:lineRule="auto"/>
              <w:ind w:left="285"/>
            </w:pPr>
            <w:r>
              <w:rPr>
                <w:spacing w:val="-3"/>
              </w:rPr>
              <w:t>京红</w:t>
            </w:r>
          </w:p>
        </w:tc>
        <w:tc>
          <w:tcPr>
            <w:tcW w:w="839" w:type="dxa"/>
            <w:vAlign w:val="top"/>
          </w:tcPr>
          <w:p>
            <w:pPr>
              <w:pStyle w:val="39"/>
              <w:spacing w:before="72" w:line="221" w:lineRule="auto"/>
              <w:ind w:left="231"/>
            </w:pPr>
            <w:r>
              <w:rPr>
                <w:spacing w:val="4"/>
              </w:rPr>
              <w:t>圆形</w:t>
            </w:r>
          </w:p>
        </w:tc>
        <w:tc>
          <w:tcPr>
            <w:tcW w:w="839" w:type="dxa"/>
            <w:vAlign w:val="top"/>
          </w:tcPr>
          <w:p>
            <w:pPr>
              <w:pStyle w:val="39"/>
              <w:spacing w:before="71" w:line="219" w:lineRule="auto"/>
              <w:ind w:left="232"/>
            </w:pPr>
            <w:r>
              <w:rPr>
                <w:spacing w:val="-3"/>
              </w:rPr>
              <w:t>乳黄</w:t>
            </w:r>
          </w:p>
        </w:tc>
        <w:tc>
          <w:tcPr>
            <w:tcW w:w="2098" w:type="dxa"/>
            <w:vAlign w:val="top"/>
          </w:tcPr>
          <w:p>
            <w:pPr>
              <w:pStyle w:val="39"/>
              <w:spacing w:before="71" w:line="220" w:lineRule="auto"/>
              <w:ind w:left="683"/>
            </w:pPr>
            <w:r>
              <w:rPr>
                <w:spacing w:val="1"/>
              </w:rPr>
              <w:t>阳面红色</w:t>
            </w:r>
          </w:p>
        </w:tc>
        <w:tc>
          <w:tcPr>
            <w:tcW w:w="1668" w:type="dxa"/>
            <w:vAlign w:val="top"/>
          </w:tcPr>
          <w:p>
            <w:pPr>
              <w:pStyle w:val="39"/>
              <w:spacing w:before="117" w:line="183" w:lineRule="auto"/>
              <w:ind w:left="695"/>
            </w:pPr>
            <w:r>
              <w:rPr>
                <w:spacing w:val="-3"/>
              </w:rPr>
              <w:t>250</w:t>
            </w:r>
          </w:p>
        </w:tc>
        <w:tc>
          <w:tcPr>
            <w:tcW w:w="1149" w:type="dxa"/>
            <w:vAlign w:val="top"/>
          </w:tcPr>
          <w:p>
            <w:pPr>
              <w:pStyle w:val="39"/>
              <w:spacing w:before="71" w:line="220" w:lineRule="auto"/>
              <w:ind w:left="387"/>
            </w:pPr>
            <w:r>
              <w:rPr>
                <w:spacing w:val="10"/>
              </w:rPr>
              <w:t>溶质</w:t>
            </w:r>
          </w:p>
        </w:tc>
        <w:tc>
          <w:tcPr>
            <w:tcW w:w="1783" w:type="dxa"/>
            <w:vAlign w:val="top"/>
          </w:tcPr>
          <w:p>
            <w:pPr>
              <w:pStyle w:val="39"/>
              <w:spacing w:before="116" w:line="184" w:lineRule="auto"/>
              <w:ind w:left="708"/>
            </w:pPr>
            <w:r>
              <w:rPr>
                <w:spacing w:val="-4"/>
              </w:rPr>
              <w:t>11.0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9" w:hRule="atLeast"/>
        </w:trPr>
        <w:tc>
          <w:tcPr>
            <w:tcW w:w="944" w:type="dxa"/>
            <w:vAlign w:val="top"/>
          </w:tcPr>
          <w:p>
            <w:pPr>
              <w:pStyle w:val="39"/>
              <w:spacing w:before="112" w:line="219" w:lineRule="auto"/>
              <w:ind w:left="285"/>
            </w:pPr>
            <w:r>
              <w:rPr>
                <w:spacing w:val="-19"/>
              </w:rPr>
              <w:t>日川</w:t>
            </w:r>
          </w:p>
        </w:tc>
        <w:tc>
          <w:tcPr>
            <w:tcW w:w="839" w:type="dxa"/>
            <w:vAlign w:val="top"/>
          </w:tcPr>
          <w:p>
            <w:pPr>
              <w:pStyle w:val="39"/>
              <w:spacing w:before="113" w:line="221" w:lineRule="auto"/>
              <w:ind w:left="231"/>
            </w:pPr>
            <w:r>
              <w:rPr>
                <w:spacing w:val="4"/>
              </w:rPr>
              <w:t>圆形</w:t>
            </w:r>
          </w:p>
        </w:tc>
        <w:tc>
          <w:tcPr>
            <w:tcW w:w="839" w:type="dxa"/>
            <w:vAlign w:val="top"/>
          </w:tcPr>
          <w:p>
            <w:pPr>
              <w:pStyle w:val="39"/>
              <w:spacing w:before="113" w:line="221" w:lineRule="auto"/>
              <w:ind w:left="232"/>
            </w:pPr>
            <w:r>
              <w:rPr>
                <w:spacing w:val="11"/>
              </w:rPr>
              <w:t>乳白</w:t>
            </w:r>
          </w:p>
        </w:tc>
        <w:tc>
          <w:tcPr>
            <w:tcW w:w="2098" w:type="dxa"/>
            <w:vAlign w:val="top"/>
          </w:tcPr>
          <w:p>
            <w:pPr>
              <w:pStyle w:val="39"/>
              <w:spacing w:before="113" w:line="221" w:lineRule="auto"/>
              <w:ind w:left="593"/>
            </w:pPr>
            <w:r>
              <w:rPr>
                <w:spacing w:val="3"/>
              </w:rPr>
              <w:t>玫瑰红细点</w:t>
            </w:r>
          </w:p>
        </w:tc>
        <w:tc>
          <w:tcPr>
            <w:tcW w:w="1668" w:type="dxa"/>
            <w:vAlign w:val="top"/>
          </w:tcPr>
          <w:p>
            <w:pPr>
              <w:pStyle w:val="39"/>
              <w:spacing w:before="158" w:line="183" w:lineRule="auto"/>
              <w:ind w:left="695"/>
            </w:pPr>
            <w:r>
              <w:rPr>
                <w:spacing w:val="-3"/>
              </w:rPr>
              <w:t>200</w:t>
            </w:r>
          </w:p>
        </w:tc>
        <w:tc>
          <w:tcPr>
            <w:tcW w:w="1149" w:type="dxa"/>
            <w:vAlign w:val="top"/>
          </w:tcPr>
          <w:p>
            <w:pPr>
              <w:pStyle w:val="39"/>
              <w:spacing w:before="112" w:line="220" w:lineRule="auto"/>
              <w:ind w:left="387"/>
            </w:pPr>
            <w:r>
              <w:rPr>
                <w:spacing w:val="10"/>
              </w:rPr>
              <w:t>溶质</w:t>
            </w:r>
          </w:p>
        </w:tc>
        <w:tc>
          <w:tcPr>
            <w:tcW w:w="1783" w:type="dxa"/>
            <w:vAlign w:val="top"/>
          </w:tcPr>
          <w:p>
            <w:pPr>
              <w:pStyle w:val="39"/>
              <w:spacing w:before="157" w:line="184" w:lineRule="auto"/>
              <w:ind w:left="708"/>
            </w:pPr>
            <w:r>
              <w:rPr>
                <w:spacing w:val="-4"/>
              </w:rPr>
              <w:t>11.5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944" w:type="dxa"/>
            <w:vAlign w:val="top"/>
          </w:tcPr>
          <w:p>
            <w:pPr>
              <w:pStyle w:val="39"/>
              <w:spacing w:before="76" w:line="222" w:lineRule="auto"/>
              <w:ind w:left="285"/>
            </w:pPr>
            <w:r>
              <w:rPr>
                <w:spacing w:val="9"/>
              </w:rPr>
              <w:t>白凤</w:t>
            </w:r>
          </w:p>
        </w:tc>
        <w:tc>
          <w:tcPr>
            <w:tcW w:w="839" w:type="dxa"/>
            <w:vAlign w:val="top"/>
          </w:tcPr>
          <w:p>
            <w:pPr>
              <w:pStyle w:val="39"/>
              <w:spacing w:before="74" w:line="221" w:lineRule="auto"/>
              <w:ind w:left="141"/>
            </w:pPr>
            <w:r>
              <w:rPr>
                <w:spacing w:val="-2"/>
              </w:rPr>
              <w:t>近圆形</w:t>
            </w:r>
          </w:p>
        </w:tc>
        <w:tc>
          <w:tcPr>
            <w:tcW w:w="839" w:type="dxa"/>
            <w:vAlign w:val="top"/>
          </w:tcPr>
          <w:p>
            <w:pPr>
              <w:pStyle w:val="39"/>
              <w:spacing w:before="74" w:line="221" w:lineRule="auto"/>
              <w:ind w:left="232"/>
            </w:pPr>
            <w:r>
              <w:rPr>
                <w:spacing w:val="11"/>
              </w:rPr>
              <w:t>乳白</w:t>
            </w:r>
          </w:p>
        </w:tc>
        <w:tc>
          <w:tcPr>
            <w:tcW w:w="2098" w:type="dxa"/>
            <w:vAlign w:val="top"/>
          </w:tcPr>
          <w:p>
            <w:pPr>
              <w:pStyle w:val="39"/>
              <w:spacing w:before="72" w:line="219" w:lineRule="auto"/>
              <w:ind w:left="323"/>
            </w:pPr>
            <w:r>
              <w:rPr>
                <w:spacing w:val="-2"/>
              </w:rPr>
              <w:t>淡红色有虎皮条纹</w:t>
            </w:r>
          </w:p>
        </w:tc>
        <w:tc>
          <w:tcPr>
            <w:tcW w:w="1668" w:type="dxa"/>
            <w:vAlign w:val="top"/>
          </w:tcPr>
          <w:p>
            <w:pPr>
              <w:pStyle w:val="39"/>
              <w:spacing w:before="119" w:line="183" w:lineRule="auto"/>
              <w:ind w:left="695"/>
            </w:pPr>
            <w:r>
              <w:rPr>
                <w:spacing w:val="-3"/>
              </w:rPr>
              <w:t>225</w:t>
            </w:r>
          </w:p>
        </w:tc>
        <w:tc>
          <w:tcPr>
            <w:tcW w:w="1149" w:type="dxa"/>
            <w:vAlign w:val="top"/>
          </w:tcPr>
          <w:p>
            <w:pPr>
              <w:pStyle w:val="39"/>
              <w:spacing w:before="73" w:line="220" w:lineRule="auto"/>
              <w:ind w:left="387"/>
            </w:pPr>
            <w:r>
              <w:rPr>
                <w:spacing w:val="10"/>
              </w:rPr>
              <w:t>溶质</w:t>
            </w:r>
          </w:p>
        </w:tc>
        <w:tc>
          <w:tcPr>
            <w:tcW w:w="1783" w:type="dxa"/>
            <w:vAlign w:val="top"/>
          </w:tcPr>
          <w:p>
            <w:pPr>
              <w:pStyle w:val="39"/>
              <w:spacing w:before="118" w:line="184" w:lineRule="auto"/>
              <w:ind w:left="708"/>
            </w:pPr>
            <w:r>
              <w:rPr>
                <w:spacing w:val="-4"/>
              </w:rPr>
              <w:t>11.5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atLeast"/>
        </w:trPr>
        <w:tc>
          <w:tcPr>
            <w:tcW w:w="944" w:type="dxa"/>
            <w:vAlign w:val="top"/>
          </w:tcPr>
          <w:p>
            <w:pPr>
              <w:pStyle w:val="39"/>
              <w:spacing w:before="73" w:line="220" w:lineRule="auto"/>
              <w:ind w:left="195"/>
            </w:pPr>
            <w:r>
              <w:rPr>
                <w:spacing w:val="-2"/>
              </w:rPr>
              <w:t>新白凤</w:t>
            </w:r>
          </w:p>
        </w:tc>
        <w:tc>
          <w:tcPr>
            <w:tcW w:w="839" w:type="dxa"/>
            <w:vAlign w:val="top"/>
          </w:tcPr>
          <w:p>
            <w:pPr>
              <w:pStyle w:val="39"/>
              <w:spacing w:before="74" w:line="221" w:lineRule="auto"/>
              <w:ind w:left="141"/>
            </w:pPr>
            <w:r>
              <w:rPr>
                <w:spacing w:val="-2"/>
              </w:rPr>
              <w:t>长圆形</w:t>
            </w:r>
          </w:p>
        </w:tc>
        <w:tc>
          <w:tcPr>
            <w:tcW w:w="839" w:type="dxa"/>
            <w:vAlign w:val="top"/>
          </w:tcPr>
          <w:p>
            <w:pPr>
              <w:pStyle w:val="39"/>
              <w:spacing w:before="74" w:line="221" w:lineRule="auto"/>
              <w:ind w:left="232"/>
            </w:pPr>
            <w:r>
              <w:rPr>
                <w:spacing w:val="11"/>
              </w:rPr>
              <w:t>乳白</w:t>
            </w:r>
          </w:p>
        </w:tc>
        <w:tc>
          <w:tcPr>
            <w:tcW w:w="2098" w:type="dxa"/>
            <w:vAlign w:val="top"/>
          </w:tcPr>
          <w:p>
            <w:pPr>
              <w:pStyle w:val="39"/>
              <w:spacing w:before="73" w:line="219" w:lineRule="auto"/>
              <w:ind w:left="503"/>
            </w:pPr>
            <w:r>
              <w:rPr>
                <w:spacing w:val="1"/>
              </w:rPr>
              <w:t>阳面着鲜红色</w:t>
            </w:r>
          </w:p>
        </w:tc>
        <w:tc>
          <w:tcPr>
            <w:tcW w:w="1668" w:type="dxa"/>
            <w:vAlign w:val="top"/>
          </w:tcPr>
          <w:p>
            <w:pPr>
              <w:pStyle w:val="39"/>
              <w:spacing w:before="119" w:line="183" w:lineRule="auto"/>
              <w:ind w:left="695"/>
            </w:pPr>
            <w:r>
              <w:rPr>
                <w:spacing w:val="-3"/>
              </w:rPr>
              <w:t>250</w:t>
            </w:r>
          </w:p>
        </w:tc>
        <w:tc>
          <w:tcPr>
            <w:tcW w:w="1149" w:type="dxa"/>
            <w:vAlign w:val="top"/>
          </w:tcPr>
          <w:p>
            <w:pPr>
              <w:pStyle w:val="39"/>
              <w:spacing w:before="74" w:line="221" w:lineRule="auto"/>
              <w:ind w:left="387"/>
            </w:pPr>
            <w:r>
              <w:rPr>
                <w:spacing w:val="-2"/>
              </w:rPr>
              <w:t>硬溶</w:t>
            </w:r>
          </w:p>
        </w:tc>
        <w:tc>
          <w:tcPr>
            <w:tcW w:w="1783" w:type="dxa"/>
            <w:vAlign w:val="top"/>
          </w:tcPr>
          <w:p>
            <w:pPr>
              <w:pStyle w:val="39"/>
              <w:spacing w:before="118" w:line="184" w:lineRule="auto"/>
              <w:ind w:left="708"/>
            </w:pPr>
            <w:r>
              <w:rPr>
                <w:spacing w:val="-4"/>
              </w:rPr>
              <w:t>12.5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944" w:type="dxa"/>
            <w:vAlign w:val="top"/>
          </w:tcPr>
          <w:p>
            <w:pPr>
              <w:pStyle w:val="39"/>
              <w:spacing w:before="74" w:line="219" w:lineRule="auto"/>
              <w:ind w:left="285"/>
            </w:pPr>
            <w:r>
              <w:rPr>
                <w:spacing w:val="-2"/>
              </w:rPr>
              <w:t>朝晖</w:t>
            </w:r>
          </w:p>
        </w:tc>
        <w:tc>
          <w:tcPr>
            <w:tcW w:w="839" w:type="dxa"/>
            <w:vAlign w:val="top"/>
          </w:tcPr>
          <w:p>
            <w:pPr>
              <w:pStyle w:val="39"/>
              <w:spacing w:before="75" w:line="221" w:lineRule="auto"/>
              <w:ind w:left="231"/>
            </w:pPr>
            <w:r>
              <w:rPr>
                <w:spacing w:val="4"/>
              </w:rPr>
              <w:t>圆形</w:t>
            </w:r>
          </w:p>
        </w:tc>
        <w:tc>
          <w:tcPr>
            <w:tcW w:w="839" w:type="dxa"/>
            <w:vAlign w:val="top"/>
          </w:tcPr>
          <w:p>
            <w:pPr>
              <w:pStyle w:val="39"/>
              <w:spacing w:before="74" w:line="219" w:lineRule="auto"/>
              <w:ind w:left="232"/>
            </w:pPr>
            <w:r>
              <w:rPr>
                <w:spacing w:val="-3"/>
              </w:rPr>
              <w:t>乳黄</w:t>
            </w:r>
          </w:p>
        </w:tc>
        <w:tc>
          <w:tcPr>
            <w:tcW w:w="2098" w:type="dxa"/>
            <w:vAlign w:val="top"/>
          </w:tcPr>
          <w:p>
            <w:pPr>
              <w:pStyle w:val="39"/>
              <w:spacing w:before="74" w:line="220" w:lineRule="auto"/>
              <w:ind w:left="413"/>
            </w:pPr>
            <w:r>
              <w:rPr>
                <w:spacing w:val="1"/>
              </w:rPr>
              <w:t>红色斑纹或红晕</w:t>
            </w:r>
          </w:p>
        </w:tc>
        <w:tc>
          <w:tcPr>
            <w:tcW w:w="1668" w:type="dxa"/>
            <w:vAlign w:val="top"/>
          </w:tcPr>
          <w:p>
            <w:pPr>
              <w:pStyle w:val="39"/>
              <w:spacing w:before="120" w:line="183" w:lineRule="auto"/>
              <w:ind w:left="695"/>
            </w:pPr>
            <w:r>
              <w:rPr>
                <w:spacing w:val="-3"/>
              </w:rPr>
              <w:t>250</w:t>
            </w:r>
          </w:p>
        </w:tc>
        <w:tc>
          <w:tcPr>
            <w:tcW w:w="1149" w:type="dxa"/>
            <w:vAlign w:val="top"/>
          </w:tcPr>
          <w:p>
            <w:pPr>
              <w:pStyle w:val="39"/>
              <w:spacing w:before="75" w:line="221" w:lineRule="auto"/>
              <w:ind w:left="387"/>
            </w:pPr>
            <w:r>
              <w:rPr>
                <w:spacing w:val="-2"/>
              </w:rPr>
              <w:t>硬溶</w:t>
            </w:r>
          </w:p>
        </w:tc>
        <w:tc>
          <w:tcPr>
            <w:tcW w:w="1783" w:type="dxa"/>
            <w:vAlign w:val="top"/>
          </w:tcPr>
          <w:p>
            <w:pPr>
              <w:pStyle w:val="39"/>
              <w:spacing w:before="119" w:line="184" w:lineRule="auto"/>
              <w:ind w:left="708"/>
            </w:pPr>
            <w:r>
              <w:rPr>
                <w:spacing w:val="-4"/>
              </w:rPr>
              <w:t>12.5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trPr>
        <w:tc>
          <w:tcPr>
            <w:tcW w:w="944" w:type="dxa"/>
            <w:vAlign w:val="top"/>
          </w:tcPr>
          <w:p>
            <w:pPr>
              <w:pStyle w:val="39"/>
              <w:spacing w:before="74" w:line="220" w:lineRule="auto"/>
              <w:ind w:left="105"/>
            </w:pPr>
            <w:r>
              <w:rPr>
                <w:spacing w:val="2"/>
              </w:rPr>
              <w:t>阳山蜜露</w:t>
            </w:r>
          </w:p>
        </w:tc>
        <w:tc>
          <w:tcPr>
            <w:tcW w:w="839" w:type="dxa"/>
            <w:vAlign w:val="top"/>
          </w:tcPr>
          <w:p>
            <w:pPr>
              <w:pStyle w:val="39"/>
              <w:spacing w:before="74" w:line="220" w:lineRule="auto"/>
              <w:ind w:left="141"/>
            </w:pPr>
            <w:r>
              <w:rPr>
                <w:spacing w:val="-2"/>
              </w:rPr>
              <w:t>扁圆形</w:t>
            </w:r>
          </w:p>
        </w:tc>
        <w:tc>
          <w:tcPr>
            <w:tcW w:w="839" w:type="dxa"/>
            <w:vAlign w:val="top"/>
          </w:tcPr>
          <w:p>
            <w:pPr>
              <w:pStyle w:val="39"/>
              <w:spacing w:before="74" w:line="219" w:lineRule="auto"/>
              <w:ind w:left="232"/>
            </w:pPr>
            <w:r>
              <w:rPr>
                <w:spacing w:val="-3"/>
              </w:rPr>
              <w:t>乳黄</w:t>
            </w:r>
          </w:p>
        </w:tc>
        <w:tc>
          <w:tcPr>
            <w:tcW w:w="2098" w:type="dxa"/>
            <w:vAlign w:val="top"/>
          </w:tcPr>
          <w:p>
            <w:pPr>
              <w:pStyle w:val="39"/>
              <w:spacing w:before="74" w:line="220" w:lineRule="auto"/>
              <w:ind w:left="773"/>
            </w:pPr>
            <w:r>
              <w:rPr>
                <w:spacing w:val="-2"/>
              </w:rPr>
              <w:t>有红晕</w:t>
            </w:r>
          </w:p>
        </w:tc>
        <w:tc>
          <w:tcPr>
            <w:tcW w:w="1668" w:type="dxa"/>
            <w:vAlign w:val="top"/>
          </w:tcPr>
          <w:p>
            <w:pPr>
              <w:pStyle w:val="39"/>
              <w:spacing w:before="120" w:line="183" w:lineRule="auto"/>
              <w:ind w:left="695"/>
            </w:pPr>
            <w:r>
              <w:rPr>
                <w:spacing w:val="-3"/>
              </w:rPr>
              <w:t>250</w:t>
            </w:r>
          </w:p>
        </w:tc>
        <w:tc>
          <w:tcPr>
            <w:tcW w:w="1149" w:type="dxa"/>
            <w:vAlign w:val="top"/>
          </w:tcPr>
          <w:p>
            <w:pPr>
              <w:pStyle w:val="39"/>
              <w:spacing w:before="74" w:line="220" w:lineRule="auto"/>
              <w:ind w:left="387"/>
            </w:pPr>
            <w:r>
              <w:rPr>
                <w:spacing w:val="10"/>
              </w:rPr>
              <w:t>溶质</w:t>
            </w:r>
          </w:p>
        </w:tc>
        <w:tc>
          <w:tcPr>
            <w:tcW w:w="1783" w:type="dxa"/>
            <w:vAlign w:val="top"/>
          </w:tcPr>
          <w:p>
            <w:pPr>
              <w:pStyle w:val="39"/>
              <w:spacing w:before="119" w:line="184" w:lineRule="auto"/>
              <w:ind w:left="708"/>
            </w:pPr>
            <w:r>
              <w:rPr>
                <w:spacing w:val="-4"/>
              </w:rPr>
              <w:t>13.0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trPr>
        <w:tc>
          <w:tcPr>
            <w:tcW w:w="944" w:type="dxa"/>
            <w:vAlign w:val="top"/>
          </w:tcPr>
          <w:p>
            <w:pPr>
              <w:pStyle w:val="39"/>
              <w:spacing w:before="75" w:line="219" w:lineRule="auto"/>
              <w:ind w:left="105"/>
            </w:pPr>
            <w:r>
              <w:rPr>
                <w:spacing w:val="-2"/>
              </w:rPr>
              <w:t>湖景蜜露</w:t>
            </w:r>
          </w:p>
        </w:tc>
        <w:tc>
          <w:tcPr>
            <w:tcW w:w="839" w:type="dxa"/>
            <w:vAlign w:val="top"/>
          </w:tcPr>
          <w:p>
            <w:pPr>
              <w:pStyle w:val="39"/>
              <w:spacing w:before="76" w:line="221" w:lineRule="auto"/>
              <w:ind w:left="231"/>
            </w:pPr>
            <w:r>
              <w:rPr>
                <w:spacing w:val="4"/>
              </w:rPr>
              <w:t>圆形</w:t>
            </w:r>
          </w:p>
        </w:tc>
        <w:tc>
          <w:tcPr>
            <w:tcW w:w="839" w:type="dxa"/>
            <w:vAlign w:val="top"/>
          </w:tcPr>
          <w:p>
            <w:pPr>
              <w:pStyle w:val="39"/>
              <w:spacing w:before="75" w:line="219" w:lineRule="auto"/>
              <w:ind w:left="232"/>
            </w:pPr>
            <w:r>
              <w:rPr>
                <w:spacing w:val="-3"/>
              </w:rPr>
              <w:t>乳黄</w:t>
            </w:r>
          </w:p>
        </w:tc>
        <w:tc>
          <w:tcPr>
            <w:tcW w:w="2098" w:type="dxa"/>
            <w:vAlign w:val="top"/>
          </w:tcPr>
          <w:p>
            <w:pPr>
              <w:pStyle w:val="39"/>
              <w:spacing w:before="75" w:line="220" w:lineRule="auto"/>
              <w:ind w:left="773"/>
            </w:pPr>
            <w:r>
              <w:rPr>
                <w:spacing w:val="-2"/>
              </w:rPr>
              <w:t>有红晕</w:t>
            </w:r>
          </w:p>
        </w:tc>
        <w:tc>
          <w:tcPr>
            <w:tcW w:w="1668" w:type="dxa"/>
            <w:vAlign w:val="top"/>
          </w:tcPr>
          <w:p>
            <w:pPr>
              <w:pStyle w:val="39"/>
              <w:spacing w:before="121" w:line="182" w:lineRule="auto"/>
              <w:ind w:left="695"/>
            </w:pPr>
            <w:r>
              <w:rPr>
                <w:spacing w:val="-3"/>
              </w:rPr>
              <w:t>240</w:t>
            </w:r>
          </w:p>
        </w:tc>
        <w:tc>
          <w:tcPr>
            <w:tcW w:w="1149" w:type="dxa"/>
            <w:vAlign w:val="top"/>
          </w:tcPr>
          <w:p>
            <w:pPr>
              <w:pStyle w:val="39"/>
              <w:spacing w:before="75" w:line="220" w:lineRule="auto"/>
              <w:ind w:left="387"/>
            </w:pPr>
            <w:r>
              <w:rPr>
                <w:spacing w:val="10"/>
              </w:rPr>
              <w:t>溶质</w:t>
            </w:r>
          </w:p>
        </w:tc>
        <w:tc>
          <w:tcPr>
            <w:tcW w:w="1783" w:type="dxa"/>
            <w:vAlign w:val="top"/>
          </w:tcPr>
          <w:p>
            <w:pPr>
              <w:pStyle w:val="39"/>
              <w:spacing w:before="121" w:line="182" w:lineRule="auto"/>
              <w:ind w:left="708"/>
            </w:pPr>
            <w:r>
              <w:rPr>
                <w:spacing w:val="-4"/>
              </w:rPr>
              <w:t>13.0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944" w:type="dxa"/>
            <w:vAlign w:val="top"/>
          </w:tcPr>
          <w:p>
            <w:pPr>
              <w:pStyle w:val="39"/>
              <w:spacing w:before="76" w:line="219" w:lineRule="auto"/>
              <w:ind w:left="195"/>
            </w:pPr>
            <w:r>
              <w:rPr>
                <w:spacing w:val="3"/>
              </w:rPr>
              <w:t>红湖景</w:t>
            </w:r>
          </w:p>
        </w:tc>
        <w:tc>
          <w:tcPr>
            <w:tcW w:w="839" w:type="dxa"/>
            <w:vAlign w:val="top"/>
          </w:tcPr>
          <w:p>
            <w:pPr>
              <w:pStyle w:val="39"/>
              <w:spacing w:before="77" w:line="221" w:lineRule="auto"/>
              <w:ind w:left="231"/>
            </w:pPr>
            <w:r>
              <w:rPr>
                <w:spacing w:val="4"/>
              </w:rPr>
              <w:t>圆形</w:t>
            </w:r>
          </w:p>
        </w:tc>
        <w:tc>
          <w:tcPr>
            <w:tcW w:w="839" w:type="dxa"/>
            <w:vAlign w:val="top"/>
          </w:tcPr>
          <w:p>
            <w:pPr>
              <w:pStyle w:val="39"/>
              <w:spacing w:before="76" w:line="219" w:lineRule="auto"/>
              <w:ind w:left="232"/>
            </w:pPr>
            <w:r>
              <w:rPr>
                <w:spacing w:val="-3"/>
              </w:rPr>
              <w:t>乳黄</w:t>
            </w:r>
          </w:p>
        </w:tc>
        <w:tc>
          <w:tcPr>
            <w:tcW w:w="2098" w:type="dxa"/>
            <w:vAlign w:val="top"/>
          </w:tcPr>
          <w:p>
            <w:pPr>
              <w:pStyle w:val="39"/>
              <w:spacing w:before="76" w:line="220" w:lineRule="auto"/>
              <w:ind w:left="683"/>
            </w:pPr>
            <w:r>
              <w:rPr>
                <w:spacing w:val="-2"/>
              </w:rPr>
              <w:t>玫瑰红晕</w:t>
            </w:r>
          </w:p>
        </w:tc>
        <w:tc>
          <w:tcPr>
            <w:tcW w:w="1668" w:type="dxa"/>
            <w:vAlign w:val="top"/>
          </w:tcPr>
          <w:p>
            <w:pPr>
              <w:pStyle w:val="39"/>
              <w:spacing w:before="122" w:line="182" w:lineRule="auto"/>
              <w:ind w:left="695"/>
            </w:pPr>
            <w:r>
              <w:rPr>
                <w:spacing w:val="-3"/>
              </w:rPr>
              <w:t>250</w:t>
            </w:r>
          </w:p>
        </w:tc>
        <w:tc>
          <w:tcPr>
            <w:tcW w:w="1149" w:type="dxa"/>
            <w:vAlign w:val="top"/>
          </w:tcPr>
          <w:p>
            <w:pPr>
              <w:pStyle w:val="39"/>
              <w:spacing w:before="77" w:line="221" w:lineRule="auto"/>
              <w:ind w:left="387"/>
            </w:pPr>
            <w:r>
              <w:rPr>
                <w:spacing w:val="-2"/>
              </w:rPr>
              <w:t>硬溶</w:t>
            </w:r>
          </w:p>
        </w:tc>
        <w:tc>
          <w:tcPr>
            <w:tcW w:w="1783" w:type="dxa"/>
            <w:vAlign w:val="top"/>
          </w:tcPr>
          <w:p>
            <w:pPr>
              <w:pStyle w:val="39"/>
              <w:spacing w:before="122" w:line="182" w:lineRule="auto"/>
              <w:ind w:left="708"/>
            </w:pPr>
            <w:r>
              <w:rPr>
                <w:spacing w:val="-4"/>
              </w:rPr>
              <w:t>13.0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atLeast"/>
        </w:trPr>
        <w:tc>
          <w:tcPr>
            <w:tcW w:w="944" w:type="dxa"/>
            <w:vAlign w:val="top"/>
          </w:tcPr>
          <w:p>
            <w:pPr>
              <w:pStyle w:val="39"/>
              <w:spacing w:before="77" w:line="221" w:lineRule="auto"/>
              <w:ind w:left="285"/>
            </w:pPr>
            <w:r>
              <w:rPr>
                <w:spacing w:val="3"/>
              </w:rPr>
              <w:t>白花</w:t>
            </w:r>
          </w:p>
        </w:tc>
        <w:tc>
          <w:tcPr>
            <w:tcW w:w="839" w:type="dxa"/>
            <w:vAlign w:val="top"/>
          </w:tcPr>
          <w:p>
            <w:pPr>
              <w:pStyle w:val="39"/>
              <w:spacing w:before="76" w:line="220" w:lineRule="auto"/>
              <w:ind w:left="141"/>
            </w:pPr>
            <w:r>
              <w:rPr>
                <w:spacing w:val="2"/>
              </w:rPr>
              <w:t>卵圆形</w:t>
            </w:r>
          </w:p>
        </w:tc>
        <w:tc>
          <w:tcPr>
            <w:tcW w:w="839" w:type="dxa"/>
            <w:vAlign w:val="top"/>
          </w:tcPr>
          <w:p>
            <w:pPr>
              <w:pStyle w:val="39"/>
              <w:spacing w:before="77" w:line="221" w:lineRule="auto"/>
              <w:ind w:left="232"/>
            </w:pPr>
            <w:r>
              <w:rPr>
                <w:spacing w:val="11"/>
              </w:rPr>
              <w:t>乳白</w:t>
            </w:r>
          </w:p>
        </w:tc>
        <w:tc>
          <w:tcPr>
            <w:tcW w:w="2098" w:type="dxa"/>
            <w:vAlign w:val="top"/>
          </w:tcPr>
          <w:p>
            <w:pPr>
              <w:pStyle w:val="39"/>
              <w:spacing w:before="76" w:line="219" w:lineRule="auto"/>
              <w:ind w:left="323"/>
            </w:pPr>
            <w:r>
              <w:rPr>
                <w:spacing w:val="-1"/>
              </w:rPr>
              <w:t>顶部带红晕或条纹</w:t>
            </w:r>
          </w:p>
        </w:tc>
        <w:tc>
          <w:tcPr>
            <w:tcW w:w="1668" w:type="dxa"/>
            <w:vAlign w:val="top"/>
          </w:tcPr>
          <w:p>
            <w:pPr>
              <w:pStyle w:val="39"/>
              <w:spacing w:before="122" w:line="183" w:lineRule="auto"/>
              <w:ind w:left="695"/>
            </w:pPr>
            <w:r>
              <w:rPr>
                <w:spacing w:val="-3"/>
              </w:rPr>
              <w:t>225</w:t>
            </w:r>
          </w:p>
        </w:tc>
        <w:tc>
          <w:tcPr>
            <w:tcW w:w="1149" w:type="dxa"/>
            <w:vAlign w:val="top"/>
          </w:tcPr>
          <w:p>
            <w:pPr>
              <w:pStyle w:val="39"/>
              <w:spacing w:before="77" w:line="221" w:lineRule="auto"/>
              <w:ind w:left="387"/>
            </w:pPr>
            <w:r>
              <w:rPr>
                <w:spacing w:val="-2"/>
              </w:rPr>
              <w:t>硬溶</w:t>
            </w:r>
          </w:p>
        </w:tc>
        <w:tc>
          <w:tcPr>
            <w:tcW w:w="1783" w:type="dxa"/>
            <w:vAlign w:val="top"/>
          </w:tcPr>
          <w:p>
            <w:pPr>
              <w:pStyle w:val="39"/>
              <w:spacing w:before="121" w:line="184" w:lineRule="auto"/>
              <w:ind w:left="708"/>
            </w:pPr>
            <w:r>
              <w:rPr>
                <w:spacing w:val="-4"/>
              </w:rPr>
              <w:t>13.0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4" w:hRule="atLeast"/>
        </w:trPr>
        <w:tc>
          <w:tcPr>
            <w:tcW w:w="944" w:type="dxa"/>
            <w:vAlign w:val="top"/>
          </w:tcPr>
          <w:p>
            <w:pPr>
              <w:pStyle w:val="39"/>
              <w:spacing w:before="77" w:line="220" w:lineRule="auto"/>
              <w:ind w:left="105"/>
            </w:pPr>
            <w:r>
              <w:rPr>
                <w:spacing w:val="1"/>
              </w:rPr>
              <w:t>阳山红花</w:t>
            </w:r>
          </w:p>
        </w:tc>
        <w:tc>
          <w:tcPr>
            <w:tcW w:w="839" w:type="dxa"/>
            <w:vAlign w:val="top"/>
          </w:tcPr>
          <w:p>
            <w:pPr>
              <w:pStyle w:val="39"/>
              <w:spacing w:before="78" w:line="221" w:lineRule="auto"/>
              <w:ind w:left="231"/>
            </w:pPr>
            <w:r>
              <w:rPr>
                <w:spacing w:val="4"/>
              </w:rPr>
              <w:t>圆形</w:t>
            </w:r>
          </w:p>
        </w:tc>
        <w:tc>
          <w:tcPr>
            <w:tcW w:w="839" w:type="dxa"/>
            <w:vAlign w:val="top"/>
          </w:tcPr>
          <w:p>
            <w:pPr>
              <w:pStyle w:val="39"/>
              <w:spacing w:before="77" w:line="219" w:lineRule="auto"/>
              <w:ind w:left="232"/>
            </w:pPr>
            <w:r>
              <w:rPr>
                <w:spacing w:val="-3"/>
              </w:rPr>
              <w:t>乳黄</w:t>
            </w:r>
          </w:p>
        </w:tc>
        <w:tc>
          <w:tcPr>
            <w:tcW w:w="2098" w:type="dxa"/>
            <w:vAlign w:val="top"/>
          </w:tcPr>
          <w:p>
            <w:pPr>
              <w:pStyle w:val="39"/>
              <w:spacing w:before="77" w:line="220" w:lineRule="auto"/>
              <w:ind w:left="593"/>
            </w:pPr>
            <w:r>
              <w:rPr>
                <w:spacing w:val="2"/>
              </w:rPr>
              <w:t>阳面有红晕</w:t>
            </w:r>
          </w:p>
        </w:tc>
        <w:tc>
          <w:tcPr>
            <w:tcW w:w="1668" w:type="dxa"/>
            <w:vAlign w:val="top"/>
          </w:tcPr>
          <w:p>
            <w:pPr>
              <w:pStyle w:val="39"/>
              <w:spacing w:before="123" w:line="183" w:lineRule="auto"/>
              <w:ind w:left="695"/>
            </w:pPr>
            <w:r>
              <w:rPr>
                <w:spacing w:val="-3"/>
              </w:rPr>
              <w:t>250</w:t>
            </w:r>
          </w:p>
        </w:tc>
        <w:tc>
          <w:tcPr>
            <w:tcW w:w="1149" w:type="dxa"/>
            <w:vAlign w:val="top"/>
          </w:tcPr>
          <w:p>
            <w:pPr>
              <w:pStyle w:val="39"/>
              <w:spacing w:before="78" w:line="221" w:lineRule="auto"/>
              <w:ind w:left="387"/>
            </w:pPr>
            <w:r>
              <w:rPr>
                <w:spacing w:val="-2"/>
              </w:rPr>
              <w:t>硬溶</w:t>
            </w:r>
          </w:p>
        </w:tc>
        <w:tc>
          <w:tcPr>
            <w:tcW w:w="1783" w:type="dxa"/>
            <w:vAlign w:val="top"/>
          </w:tcPr>
          <w:p>
            <w:pPr>
              <w:pStyle w:val="39"/>
              <w:spacing w:before="122" w:line="184" w:lineRule="auto"/>
              <w:ind w:left="708"/>
            </w:pPr>
            <w:r>
              <w:rPr>
                <w:spacing w:val="-4"/>
              </w:rPr>
              <w:t>13.5</w:t>
            </w:r>
          </w:p>
        </w:tc>
      </w:tr>
    </w:tbl>
    <w:p>
      <w:pPr>
        <w:rPr>
          <w:rFonts w:ascii="Arial"/>
          <w:sz w:val="21"/>
        </w:rPr>
      </w:pPr>
    </w:p>
    <w:p>
      <w:pPr>
        <w:rPr>
          <w:rFonts w:ascii="Arial" w:hAnsi="Arial" w:eastAsia="Arial" w:cs="Arial"/>
          <w:sz w:val="21"/>
          <w:szCs w:val="21"/>
        </w:rPr>
        <w:sectPr>
          <w:footerReference r:id="rId6" w:type="default"/>
          <w:pgSz w:w="11900" w:h="16840"/>
          <w:pgMar w:top="1431" w:right="1264" w:bottom="1055" w:left="1259" w:header="0" w:footer="906" w:gutter="0"/>
          <w:cols w:space="720" w:num="1"/>
        </w:sectPr>
      </w:pPr>
    </w:p>
    <w:p>
      <w:pPr>
        <w:spacing w:before="270" w:line="224" w:lineRule="auto"/>
        <w:ind w:right="4"/>
        <w:jc w:val="right"/>
        <w:rPr>
          <w:rFonts w:ascii="宋体" w:hAnsi="宋体" w:eastAsia="宋体" w:cs="宋体"/>
          <w:sz w:val="17"/>
          <w:szCs w:val="17"/>
        </w:rPr>
      </w:pPr>
      <w:r>
        <mc:AlternateContent>
          <mc:Choice Requires="wps">
            <w:drawing>
              <wp:anchor distT="0" distB="0" distL="114300" distR="114300" simplePos="0" relativeHeight="251664384" behindDoc="0" locked="0" layoutInCell="0" allowOverlap="1">
                <wp:simplePos x="0" y="0"/>
                <wp:positionH relativeFrom="page">
                  <wp:posOffset>2704465</wp:posOffset>
                </wp:positionH>
                <wp:positionV relativeFrom="page">
                  <wp:posOffset>5886450</wp:posOffset>
                </wp:positionV>
                <wp:extent cx="2216785" cy="6350"/>
                <wp:effectExtent l="0" t="0" r="0" b="0"/>
                <wp:wrapNone/>
                <wp:docPr id="1" name="矩形 1"/>
                <wp:cNvGraphicFramePr/>
                <a:graphic xmlns:a="http://schemas.openxmlformats.org/drawingml/2006/main">
                  <a:graphicData uri="http://schemas.microsoft.com/office/word/2010/wordprocessingShape">
                    <wps:wsp>
                      <wps:cNvSpPr/>
                      <wps:spPr>
                        <a:xfrm>
                          <a:off x="0" y="0"/>
                          <a:ext cx="2216785" cy="6350"/>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212.95pt;margin-top:463.5pt;height:0.5pt;width:174.55pt;mso-position-horizontal-relative:page;mso-position-vertical-relative:page;z-index:251664384;mso-width-relative:page;mso-height-relative:page;" fillcolor="#000000" filled="t" stroked="f" coordsize="21600,21600" o:allowincell="f" o:gfxdata="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K&#10;gnt42gAAAAsBAAAPAAAAAAAAAAEAIAAAACIAAABkcnMvZG93bnJldi54bWxQSwECFAAUAAAACACH&#10;TuJAm2UdOLABAABdAwAADgAAAAAAAAABACAAAAApAQAAZHJzL2Uyb0RvYy54bWxQSwUGAAAAAAYA&#10;BgBZAQAASwUAAAAA&#10;">
                <v:fill on="t" focussize="0,0"/>
                <v:stroke on="f"/>
                <v:imagedata o:title=""/>
                <o:lock v:ext="edit" aspectratio="f"/>
              </v:rect>
            </w:pict>
          </mc:Fallback>
        </mc:AlternateContent>
      </w:r>
      <w:r>
        <w:rPr>
          <w:rFonts w:ascii="宋体" w:hAnsi="宋体" w:eastAsia="宋体" w:cs="宋体"/>
          <w:spacing w:val="-1"/>
          <w:sz w:val="17"/>
          <w:szCs w:val="17"/>
        </w:rPr>
        <w:t>DB32/T</w:t>
      </w:r>
      <w:r>
        <w:rPr>
          <w:rFonts w:hint="eastAsia" w:cs="宋体"/>
          <w:spacing w:val="17"/>
          <w:sz w:val="17"/>
          <w:szCs w:val="17"/>
          <w:lang w:val="en-US" w:eastAsia="zh-CN"/>
        </w:rPr>
        <w:t xml:space="preserve"> </w:t>
      </w:r>
      <w:r>
        <w:rPr>
          <w:rFonts w:ascii="宋体" w:hAnsi="宋体" w:eastAsia="宋体" w:cs="宋体"/>
          <w:spacing w:val="-1"/>
          <w:sz w:val="17"/>
          <w:szCs w:val="17"/>
        </w:rPr>
        <w:t>393—2022</w:t>
      </w:r>
    </w:p>
    <w:p>
      <w:pPr>
        <w:spacing w:before="252" w:line="219" w:lineRule="auto"/>
        <w:rPr>
          <w:rFonts w:hint="eastAsia" w:ascii="宋体" w:hAnsi="宋体" w:eastAsia="宋体" w:cs="宋体"/>
          <w:sz w:val="21"/>
          <w:szCs w:val="21"/>
        </w:rPr>
      </w:pPr>
      <w:r>
        <w:rPr>
          <w:rFonts w:hint="eastAsia" w:ascii="黑体" w:hAnsi="黑体" w:eastAsia="黑体" w:cs="黑体"/>
          <w:spacing w:val="-26"/>
          <w:w w:val="98"/>
          <w:sz w:val="21"/>
          <w:szCs w:val="21"/>
        </w:rPr>
        <w:t>A.1.2</w:t>
      </w:r>
      <w:r>
        <w:rPr>
          <w:rFonts w:hint="eastAsia" w:ascii="宋体" w:hAnsi="宋体" w:eastAsia="宋体" w:cs="宋体"/>
          <w:spacing w:val="8"/>
          <w:sz w:val="21"/>
          <w:szCs w:val="21"/>
        </w:rPr>
        <w:t xml:space="preserve">   </w:t>
      </w:r>
      <w:r>
        <w:rPr>
          <w:rFonts w:hint="eastAsia" w:ascii="宋体" w:hAnsi="宋体" w:eastAsia="宋体" w:cs="宋体"/>
          <w:spacing w:val="-26"/>
          <w:w w:val="98"/>
          <w:sz w:val="21"/>
          <w:szCs w:val="21"/>
        </w:rPr>
        <w:t>无锡水蜜桃主要品种的果实品质等级要求见表A.2。</w:t>
      </w:r>
    </w:p>
    <w:p>
      <w:pPr>
        <w:pStyle w:val="4"/>
        <w:spacing w:before="176" w:line="221" w:lineRule="auto"/>
        <w:ind w:left="2403"/>
        <w:rPr>
          <w:sz w:val="22"/>
          <w:szCs w:val="22"/>
        </w:rPr>
      </w:pPr>
      <w:r>
        <w:rPr>
          <w:b/>
          <w:bCs/>
          <w:spacing w:val="-10"/>
          <w:sz w:val="22"/>
          <w:szCs w:val="22"/>
        </w:rPr>
        <w:t>表</w:t>
      </w:r>
      <w:r>
        <w:rPr>
          <w:rFonts w:ascii="宋体" w:hAnsi="宋体" w:eastAsia="宋体" w:cs="宋体"/>
          <w:b/>
          <w:bCs/>
          <w:spacing w:val="-10"/>
          <w:sz w:val="22"/>
          <w:szCs w:val="22"/>
        </w:rPr>
        <w:t>A.2</w:t>
      </w:r>
      <w:r>
        <w:rPr>
          <w:rFonts w:ascii="宋体" w:hAnsi="宋体" w:eastAsia="宋体" w:cs="宋体"/>
          <w:spacing w:val="-10"/>
          <w:sz w:val="22"/>
          <w:szCs w:val="22"/>
        </w:rPr>
        <w:t xml:space="preserve">  </w:t>
      </w:r>
      <w:r>
        <w:rPr>
          <w:b/>
          <w:bCs/>
          <w:spacing w:val="-10"/>
          <w:sz w:val="22"/>
          <w:szCs w:val="22"/>
        </w:rPr>
        <w:t>无锡水蜜桃主要品种的果实品质等级要求</w:t>
      </w:r>
    </w:p>
    <w:p>
      <w:pPr>
        <w:spacing w:line="177" w:lineRule="exact"/>
      </w:pPr>
    </w:p>
    <w:tbl>
      <w:tblPr>
        <w:tblStyle w:val="12"/>
        <w:tblW w:w="9320" w:type="dxa"/>
        <w:tblInd w:w="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4"/>
        <w:gridCol w:w="1159"/>
        <w:gridCol w:w="1638"/>
        <w:gridCol w:w="1189"/>
        <w:gridCol w:w="1598"/>
        <w:gridCol w:w="1219"/>
        <w:gridCol w:w="15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4" w:hRule="atLeast"/>
        </w:trPr>
        <w:tc>
          <w:tcPr>
            <w:tcW w:w="944" w:type="dxa"/>
            <w:vMerge w:val="restart"/>
            <w:tcBorders>
              <w:bottom w:val="nil"/>
            </w:tcBorders>
            <w:vAlign w:val="top"/>
          </w:tcPr>
          <w:p>
            <w:pPr>
              <w:pStyle w:val="39"/>
              <w:spacing w:before="242" w:line="220" w:lineRule="auto"/>
              <w:ind w:left="285"/>
            </w:pPr>
            <w:r>
              <w:rPr>
                <w:spacing w:val="6"/>
              </w:rPr>
              <w:t>品种</w:t>
            </w:r>
          </w:p>
        </w:tc>
        <w:tc>
          <w:tcPr>
            <w:tcW w:w="2797" w:type="dxa"/>
            <w:gridSpan w:val="2"/>
            <w:vAlign w:val="top"/>
          </w:tcPr>
          <w:p>
            <w:pPr>
              <w:pStyle w:val="39"/>
              <w:spacing w:before="72" w:line="219" w:lineRule="auto"/>
              <w:ind w:left="1231"/>
            </w:pPr>
            <w:r>
              <w:rPr>
                <w:spacing w:val="-2"/>
              </w:rPr>
              <w:t>特级</w:t>
            </w:r>
          </w:p>
        </w:tc>
        <w:tc>
          <w:tcPr>
            <w:tcW w:w="2787" w:type="dxa"/>
            <w:gridSpan w:val="2"/>
            <w:vAlign w:val="top"/>
          </w:tcPr>
          <w:p>
            <w:pPr>
              <w:pStyle w:val="39"/>
              <w:spacing w:before="74" w:line="221" w:lineRule="auto"/>
              <w:ind w:left="1234"/>
            </w:pPr>
            <w:r>
              <w:rPr>
                <w:spacing w:val="10"/>
              </w:rPr>
              <w:t>一级</w:t>
            </w:r>
          </w:p>
        </w:tc>
        <w:tc>
          <w:tcPr>
            <w:tcW w:w="2792" w:type="dxa"/>
            <w:gridSpan w:val="2"/>
            <w:vAlign w:val="top"/>
          </w:tcPr>
          <w:p>
            <w:pPr>
              <w:pStyle w:val="39"/>
              <w:spacing w:before="74" w:line="221" w:lineRule="auto"/>
              <w:ind w:left="1247"/>
            </w:pPr>
            <w:r>
              <w:rPr>
                <w:spacing w:val="5"/>
              </w:rPr>
              <w:t>二级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44" w:type="dxa"/>
            <w:vMerge w:val="continue"/>
            <w:tcBorders>
              <w:top w:val="nil"/>
            </w:tcBorders>
            <w:vAlign w:val="top"/>
          </w:tcPr>
          <w:p>
            <w:pPr>
              <w:rPr>
                <w:rFonts w:ascii="Arial"/>
                <w:sz w:val="21"/>
              </w:rPr>
            </w:pPr>
          </w:p>
        </w:tc>
        <w:tc>
          <w:tcPr>
            <w:tcW w:w="1159" w:type="dxa"/>
            <w:vAlign w:val="top"/>
          </w:tcPr>
          <w:p>
            <w:pPr>
              <w:pStyle w:val="39"/>
              <w:spacing w:before="72" w:line="214" w:lineRule="auto"/>
              <w:ind w:left="161"/>
            </w:pPr>
            <w:r>
              <w:rPr>
                <w:spacing w:val="6"/>
              </w:rPr>
              <w:t>单果重(g)</w:t>
            </w:r>
          </w:p>
        </w:tc>
        <w:tc>
          <w:tcPr>
            <w:tcW w:w="1638" w:type="dxa"/>
            <w:vAlign w:val="top"/>
          </w:tcPr>
          <w:p>
            <w:pPr>
              <w:pStyle w:val="39"/>
              <w:spacing w:before="78" w:line="220" w:lineRule="auto"/>
              <w:ind w:left="132"/>
            </w:pPr>
            <w:r>
              <w:rPr>
                <w:spacing w:val="4"/>
              </w:rPr>
              <w:t>可溶性固形物(%)</w:t>
            </w:r>
          </w:p>
        </w:tc>
        <w:tc>
          <w:tcPr>
            <w:tcW w:w="1189" w:type="dxa"/>
            <w:vAlign w:val="top"/>
          </w:tcPr>
          <w:p>
            <w:pPr>
              <w:pStyle w:val="39"/>
              <w:spacing w:before="72" w:line="214" w:lineRule="auto"/>
              <w:ind w:left="184"/>
            </w:pPr>
            <w:r>
              <w:rPr>
                <w:spacing w:val="6"/>
              </w:rPr>
              <w:t>单果重(g)</w:t>
            </w:r>
          </w:p>
        </w:tc>
        <w:tc>
          <w:tcPr>
            <w:tcW w:w="1598" w:type="dxa"/>
            <w:shd w:val="clear" w:color="auto" w:fill="F3FBFD"/>
            <w:vAlign w:val="top"/>
          </w:tcPr>
          <w:p>
            <w:pPr>
              <w:pStyle w:val="39"/>
              <w:spacing w:before="78" w:line="220" w:lineRule="auto"/>
              <w:ind w:left="115"/>
            </w:pPr>
            <w:r>
              <w:rPr>
                <w:spacing w:val="4"/>
              </w:rPr>
              <w:t>可溶性固形物(%)</w:t>
            </w:r>
          </w:p>
        </w:tc>
        <w:tc>
          <w:tcPr>
            <w:tcW w:w="1219" w:type="dxa"/>
            <w:vAlign w:val="top"/>
          </w:tcPr>
          <w:p>
            <w:pPr>
              <w:pStyle w:val="39"/>
              <w:spacing w:before="72" w:line="214" w:lineRule="auto"/>
              <w:ind w:left="197"/>
            </w:pPr>
            <w:r>
              <w:rPr>
                <w:spacing w:val="6"/>
              </w:rPr>
              <w:t>单果重(g)</w:t>
            </w:r>
          </w:p>
        </w:tc>
        <w:tc>
          <w:tcPr>
            <w:tcW w:w="1573" w:type="dxa"/>
            <w:vAlign w:val="top"/>
          </w:tcPr>
          <w:p>
            <w:pPr>
              <w:pStyle w:val="39"/>
              <w:spacing w:before="78" w:line="220" w:lineRule="auto"/>
              <w:ind w:left="108"/>
            </w:pPr>
            <w:r>
              <w:rPr>
                <w:spacing w:val="4"/>
              </w:rPr>
              <w:t>可溶性固形物(%)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44" w:type="dxa"/>
            <w:vAlign w:val="top"/>
          </w:tcPr>
          <w:p>
            <w:pPr>
              <w:pStyle w:val="39"/>
              <w:spacing w:before="79" w:line="220" w:lineRule="auto"/>
              <w:ind w:left="195"/>
            </w:pPr>
            <w:r>
              <w:rPr>
                <w:spacing w:val="2"/>
              </w:rPr>
              <w:t>晖雨露</w:t>
            </w:r>
          </w:p>
        </w:tc>
        <w:tc>
          <w:tcPr>
            <w:tcW w:w="1159" w:type="dxa"/>
            <w:vAlign w:val="top"/>
          </w:tcPr>
          <w:p>
            <w:pPr>
              <w:pStyle w:val="39"/>
              <w:spacing w:before="96" w:line="228" w:lineRule="auto"/>
              <w:ind w:left="341"/>
            </w:pPr>
            <w:r>
              <w:rPr>
                <w:spacing w:val="-5"/>
              </w:rPr>
              <w:t>≥150</w:t>
            </w:r>
          </w:p>
        </w:tc>
        <w:tc>
          <w:tcPr>
            <w:tcW w:w="1638" w:type="dxa"/>
            <w:vAlign w:val="top"/>
          </w:tcPr>
          <w:p>
            <w:pPr>
              <w:pStyle w:val="39"/>
              <w:spacing w:before="124" w:line="184" w:lineRule="auto"/>
              <w:ind w:left="632"/>
            </w:pPr>
            <w:r>
              <w:rPr>
                <w:spacing w:val="-4"/>
              </w:rPr>
              <w:t>10.5</w:t>
            </w:r>
          </w:p>
        </w:tc>
        <w:tc>
          <w:tcPr>
            <w:tcW w:w="1189" w:type="dxa"/>
            <w:vAlign w:val="top"/>
          </w:tcPr>
          <w:p>
            <w:pPr>
              <w:pStyle w:val="39"/>
              <w:spacing w:before="124" w:line="184" w:lineRule="auto"/>
              <w:ind w:left="274"/>
            </w:pPr>
            <w:r>
              <w:rPr>
                <w:spacing w:val="-3"/>
              </w:rPr>
              <w:t>125-149</w:t>
            </w:r>
          </w:p>
        </w:tc>
        <w:tc>
          <w:tcPr>
            <w:tcW w:w="1598" w:type="dxa"/>
            <w:vAlign w:val="top"/>
          </w:tcPr>
          <w:p>
            <w:pPr>
              <w:pStyle w:val="39"/>
              <w:spacing w:before="124" w:line="184" w:lineRule="auto"/>
              <w:ind w:left="615"/>
            </w:pPr>
            <w:r>
              <w:rPr>
                <w:spacing w:val="-4"/>
              </w:rPr>
              <w:t>10.0</w:t>
            </w:r>
          </w:p>
        </w:tc>
        <w:tc>
          <w:tcPr>
            <w:tcW w:w="1219" w:type="dxa"/>
            <w:vAlign w:val="top"/>
          </w:tcPr>
          <w:p>
            <w:pPr>
              <w:pStyle w:val="39"/>
              <w:spacing w:before="124" w:line="184" w:lineRule="auto"/>
              <w:ind w:left="287"/>
            </w:pPr>
            <w:r>
              <w:rPr>
                <w:spacing w:val="-3"/>
              </w:rPr>
              <w:t>100-124</w:t>
            </w:r>
          </w:p>
        </w:tc>
        <w:tc>
          <w:tcPr>
            <w:tcW w:w="1573" w:type="dxa"/>
            <w:vAlign w:val="top"/>
          </w:tcPr>
          <w:p>
            <w:pPr>
              <w:pStyle w:val="39"/>
              <w:spacing w:before="125" w:line="183" w:lineRule="auto"/>
              <w:ind w:left="648"/>
            </w:pPr>
            <w:r>
              <w:rPr>
                <w:spacing w:val="-2"/>
              </w:rPr>
              <w:t>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944" w:type="dxa"/>
            <w:vAlign w:val="top"/>
          </w:tcPr>
          <w:p>
            <w:pPr>
              <w:pStyle w:val="39"/>
              <w:spacing w:before="70" w:line="219" w:lineRule="auto"/>
              <w:ind w:left="45"/>
            </w:pPr>
            <w:r>
              <w:rPr>
                <w:spacing w:val="-10"/>
              </w:rPr>
              <w:t>霞</w:t>
            </w:r>
            <w:r>
              <w:rPr>
                <w:spacing w:val="3"/>
              </w:rPr>
              <w:t xml:space="preserve"> </w:t>
            </w:r>
            <w:r>
              <w:rPr>
                <w:spacing w:val="-10"/>
              </w:rPr>
              <w:t>晖</w:t>
            </w:r>
            <w:r>
              <w:rPr>
                <w:spacing w:val="8"/>
              </w:rPr>
              <w:t xml:space="preserve"> </w:t>
            </w:r>
            <w:r>
              <w:rPr>
                <w:spacing w:val="-10"/>
              </w:rPr>
              <w:t>1 号</w:t>
            </w:r>
          </w:p>
        </w:tc>
        <w:tc>
          <w:tcPr>
            <w:tcW w:w="1159" w:type="dxa"/>
            <w:vAlign w:val="top"/>
          </w:tcPr>
          <w:p>
            <w:pPr>
              <w:pStyle w:val="39"/>
              <w:spacing w:before="87" w:line="218" w:lineRule="auto"/>
              <w:ind w:left="341"/>
            </w:pPr>
            <w:r>
              <w:rPr>
                <w:spacing w:val="-5"/>
              </w:rPr>
              <w:t>≥175</w:t>
            </w:r>
          </w:p>
        </w:tc>
        <w:tc>
          <w:tcPr>
            <w:tcW w:w="1638" w:type="dxa"/>
            <w:vAlign w:val="top"/>
          </w:tcPr>
          <w:p>
            <w:pPr>
              <w:pStyle w:val="39"/>
              <w:spacing w:before="115" w:line="184" w:lineRule="auto"/>
              <w:ind w:left="632"/>
            </w:pPr>
            <w:r>
              <w:rPr>
                <w:spacing w:val="-4"/>
              </w:rPr>
              <w:t>10.5</w:t>
            </w:r>
          </w:p>
        </w:tc>
        <w:tc>
          <w:tcPr>
            <w:tcW w:w="1189" w:type="dxa"/>
            <w:vAlign w:val="top"/>
          </w:tcPr>
          <w:p>
            <w:pPr>
              <w:pStyle w:val="39"/>
              <w:spacing w:before="115" w:line="184" w:lineRule="auto"/>
              <w:ind w:left="274"/>
            </w:pPr>
            <w:r>
              <w:rPr>
                <w:spacing w:val="-3"/>
              </w:rPr>
              <w:t>150-174</w:t>
            </w:r>
          </w:p>
        </w:tc>
        <w:tc>
          <w:tcPr>
            <w:tcW w:w="1598" w:type="dxa"/>
            <w:vAlign w:val="top"/>
          </w:tcPr>
          <w:p>
            <w:pPr>
              <w:pStyle w:val="39"/>
              <w:spacing w:before="115" w:line="184" w:lineRule="auto"/>
              <w:ind w:left="615"/>
            </w:pPr>
            <w:r>
              <w:rPr>
                <w:spacing w:val="-4"/>
              </w:rPr>
              <w:t>10.0</w:t>
            </w:r>
          </w:p>
        </w:tc>
        <w:tc>
          <w:tcPr>
            <w:tcW w:w="1219" w:type="dxa"/>
            <w:vAlign w:val="top"/>
          </w:tcPr>
          <w:p>
            <w:pPr>
              <w:pStyle w:val="39"/>
              <w:spacing w:before="115" w:line="184" w:lineRule="auto"/>
              <w:ind w:left="287"/>
            </w:pPr>
            <w:r>
              <w:rPr>
                <w:spacing w:val="-3"/>
              </w:rPr>
              <w:t>125-149</w:t>
            </w:r>
          </w:p>
        </w:tc>
        <w:tc>
          <w:tcPr>
            <w:tcW w:w="1573" w:type="dxa"/>
            <w:vAlign w:val="top"/>
          </w:tcPr>
          <w:p>
            <w:pPr>
              <w:pStyle w:val="39"/>
              <w:spacing w:before="116" w:line="183" w:lineRule="auto"/>
              <w:ind w:left="648"/>
            </w:pPr>
            <w:r>
              <w:rPr>
                <w:spacing w:val="-2"/>
              </w:rPr>
              <w:t>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44" w:type="dxa"/>
            <w:vAlign w:val="top"/>
          </w:tcPr>
          <w:p>
            <w:pPr>
              <w:pStyle w:val="39"/>
              <w:spacing w:before="81" w:line="220" w:lineRule="auto"/>
              <w:ind w:left="195"/>
            </w:pPr>
            <w:r>
              <w:rPr>
                <w:spacing w:val="2"/>
              </w:rPr>
              <w:t>雨花露</w:t>
            </w:r>
          </w:p>
        </w:tc>
        <w:tc>
          <w:tcPr>
            <w:tcW w:w="1159" w:type="dxa"/>
            <w:vAlign w:val="top"/>
          </w:tcPr>
          <w:p>
            <w:pPr>
              <w:pStyle w:val="39"/>
              <w:spacing w:before="97" w:line="227" w:lineRule="auto"/>
              <w:ind w:left="341"/>
            </w:pPr>
            <w:r>
              <w:rPr>
                <w:spacing w:val="-5"/>
              </w:rPr>
              <w:t>≥225</w:t>
            </w:r>
          </w:p>
        </w:tc>
        <w:tc>
          <w:tcPr>
            <w:tcW w:w="1638" w:type="dxa"/>
            <w:vAlign w:val="top"/>
          </w:tcPr>
          <w:p>
            <w:pPr>
              <w:pStyle w:val="39"/>
              <w:spacing w:before="125" w:line="184" w:lineRule="auto"/>
              <w:ind w:left="632"/>
            </w:pPr>
            <w:r>
              <w:rPr>
                <w:spacing w:val="-4"/>
              </w:rPr>
              <w:t>11.0</w:t>
            </w:r>
          </w:p>
        </w:tc>
        <w:tc>
          <w:tcPr>
            <w:tcW w:w="1189" w:type="dxa"/>
            <w:vAlign w:val="top"/>
          </w:tcPr>
          <w:p>
            <w:pPr>
              <w:pStyle w:val="39"/>
              <w:spacing w:before="126" w:line="183" w:lineRule="auto"/>
              <w:ind w:left="274"/>
            </w:pPr>
            <w:r>
              <w:rPr>
                <w:spacing w:val="-2"/>
              </w:rPr>
              <w:t>200-224</w:t>
            </w:r>
          </w:p>
        </w:tc>
        <w:tc>
          <w:tcPr>
            <w:tcW w:w="1598" w:type="dxa"/>
            <w:vAlign w:val="top"/>
          </w:tcPr>
          <w:p>
            <w:pPr>
              <w:pStyle w:val="39"/>
              <w:spacing w:before="125" w:line="184" w:lineRule="auto"/>
              <w:ind w:left="615"/>
            </w:pPr>
            <w:r>
              <w:rPr>
                <w:spacing w:val="-4"/>
              </w:rPr>
              <w:t>10.5</w:t>
            </w:r>
          </w:p>
        </w:tc>
        <w:tc>
          <w:tcPr>
            <w:tcW w:w="1219" w:type="dxa"/>
            <w:vAlign w:val="top"/>
          </w:tcPr>
          <w:p>
            <w:pPr>
              <w:pStyle w:val="39"/>
              <w:spacing w:before="125" w:line="184" w:lineRule="auto"/>
              <w:ind w:left="287"/>
            </w:pPr>
            <w:r>
              <w:rPr>
                <w:spacing w:val="-3"/>
              </w:rPr>
              <w:t>175-199</w:t>
            </w:r>
          </w:p>
        </w:tc>
        <w:tc>
          <w:tcPr>
            <w:tcW w:w="1573" w:type="dxa"/>
            <w:vAlign w:val="top"/>
          </w:tcPr>
          <w:p>
            <w:pPr>
              <w:pStyle w:val="39"/>
              <w:spacing w:before="125" w:line="184" w:lineRule="auto"/>
              <w:ind w:left="598"/>
            </w:pPr>
            <w:r>
              <w:rPr>
                <w:spacing w:val="-4"/>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trPr>
        <w:tc>
          <w:tcPr>
            <w:tcW w:w="944" w:type="dxa"/>
            <w:vAlign w:val="top"/>
          </w:tcPr>
          <w:p>
            <w:pPr>
              <w:pStyle w:val="39"/>
              <w:spacing w:before="71" w:line="220" w:lineRule="auto"/>
              <w:ind w:left="195"/>
            </w:pPr>
            <w:r>
              <w:rPr>
                <w:spacing w:val="-2"/>
              </w:rPr>
              <w:t>银花露</w:t>
            </w:r>
          </w:p>
        </w:tc>
        <w:tc>
          <w:tcPr>
            <w:tcW w:w="1159" w:type="dxa"/>
            <w:vAlign w:val="top"/>
          </w:tcPr>
          <w:p>
            <w:pPr>
              <w:pStyle w:val="39"/>
              <w:spacing w:before="88" w:line="216" w:lineRule="auto"/>
              <w:ind w:left="341"/>
            </w:pPr>
            <w:r>
              <w:rPr>
                <w:spacing w:val="-5"/>
              </w:rPr>
              <w:t>≥225</w:t>
            </w:r>
          </w:p>
        </w:tc>
        <w:tc>
          <w:tcPr>
            <w:tcW w:w="1638" w:type="dxa"/>
            <w:vAlign w:val="top"/>
          </w:tcPr>
          <w:p>
            <w:pPr>
              <w:pStyle w:val="39"/>
              <w:spacing w:before="116" w:line="184" w:lineRule="auto"/>
              <w:ind w:left="632"/>
            </w:pPr>
            <w:r>
              <w:rPr>
                <w:spacing w:val="-4"/>
              </w:rPr>
              <w:t>12.0</w:t>
            </w:r>
          </w:p>
        </w:tc>
        <w:tc>
          <w:tcPr>
            <w:tcW w:w="1189" w:type="dxa"/>
            <w:vAlign w:val="top"/>
          </w:tcPr>
          <w:p>
            <w:pPr>
              <w:pStyle w:val="39"/>
              <w:spacing w:before="117" w:line="183" w:lineRule="auto"/>
              <w:ind w:left="274"/>
            </w:pPr>
            <w:r>
              <w:rPr>
                <w:spacing w:val="-2"/>
              </w:rPr>
              <w:t>200-224</w:t>
            </w:r>
          </w:p>
        </w:tc>
        <w:tc>
          <w:tcPr>
            <w:tcW w:w="1598" w:type="dxa"/>
            <w:vAlign w:val="top"/>
          </w:tcPr>
          <w:p>
            <w:pPr>
              <w:pStyle w:val="39"/>
              <w:spacing w:before="116" w:line="184" w:lineRule="auto"/>
              <w:ind w:left="615"/>
            </w:pPr>
            <w:r>
              <w:rPr>
                <w:spacing w:val="-4"/>
              </w:rPr>
              <w:t>11.5</w:t>
            </w:r>
          </w:p>
        </w:tc>
        <w:tc>
          <w:tcPr>
            <w:tcW w:w="1219" w:type="dxa"/>
            <w:vAlign w:val="top"/>
          </w:tcPr>
          <w:p>
            <w:pPr>
              <w:pStyle w:val="39"/>
              <w:spacing w:before="116" w:line="184" w:lineRule="auto"/>
              <w:ind w:left="287"/>
            </w:pPr>
            <w:r>
              <w:rPr>
                <w:spacing w:val="-3"/>
              </w:rPr>
              <w:t>175-199</w:t>
            </w:r>
          </w:p>
        </w:tc>
        <w:tc>
          <w:tcPr>
            <w:tcW w:w="1573" w:type="dxa"/>
            <w:vAlign w:val="top"/>
          </w:tcPr>
          <w:p>
            <w:pPr>
              <w:pStyle w:val="39"/>
              <w:spacing w:before="116" w:line="184" w:lineRule="auto"/>
              <w:ind w:left="598"/>
            </w:pPr>
            <w:r>
              <w:rPr>
                <w:spacing w:val="-4"/>
              </w:rPr>
              <w:t>11.0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944" w:type="dxa"/>
            <w:vAlign w:val="top"/>
          </w:tcPr>
          <w:p>
            <w:pPr>
              <w:pStyle w:val="39"/>
              <w:spacing w:before="72" w:line="219" w:lineRule="auto"/>
              <w:ind w:left="285"/>
            </w:pPr>
            <w:r>
              <w:rPr>
                <w:spacing w:val="-3"/>
              </w:rPr>
              <w:t>京红</w:t>
            </w:r>
          </w:p>
        </w:tc>
        <w:tc>
          <w:tcPr>
            <w:tcW w:w="1159" w:type="dxa"/>
            <w:vAlign w:val="top"/>
          </w:tcPr>
          <w:p>
            <w:pPr>
              <w:pStyle w:val="39"/>
              <w:spacing w:before="89" w:line="226" w:lineRule="auto"/>
              <w:ind w:left="341"/>
            </w:pPr>
            <w:r>
              <w:rPr>
                <w:spacing w:val="-5"/>
              </w:rPr>
              <w:t>≥250</w:t>
            </w:r>
          </w:p>
        </w:tc>
        <w:tc>
          <w:tcPr>
            <w:tcW w:w="1638" w:type="dxa"/>
            <w:vAlign w:val="top"/>
          </w:tcPr>
          <w:p>
            <w:pPr>
              <w:pStyle w:val="39"/>
              <w:spacing w:before="117" w:line="184" w:lineRule="auto"/>
              <w:ind w:left="632"/>
            </w:pPr>
            <w:r>
              <w:rPr>
                <w:spacing w:val="-4"/>
              </w:rPr>
              <w:t>11.5</w:t>
            </w:r>
          </w:p>
        </w:tc>
        <w:tc>
          <w:tcPr>
            <w:tcW w:w="1189" w:type="dxa"/>
            <w:vAlign w:val="top"/>
          </w:tcPr>
          <w:p>
            <w:pPr>
              <w:pStyle w:val="39"/>
              <w:spacing w:before="118" w:line="183" w:lineRule="auto"/>
              <w:ind w:left="274"/>
            </w:pPr>
            <w:r>
              <w:rPr>
                <w:spacing w:val="-2"/>
              </w:rPr>
              <w:t>225-249</w:t>
            </w:r>
          </w:p>
        </w:tc>
        <w:tc>
          <w:tcPr>
            <w:tcW w:w="1598" w:type="dxa"/>
            <w:vAlign w:val="top"/>
          </w:tcPr>
          <w:p>
            <w:pPr>
              <w:pStyle w:val="39"/>
              <w:spacing w:before="117" w:line="184" w:lineRule="auto"/>
              <w:ind w:left="615"/>
            </w:pPr>
            <w:r>
              <w:rPr>
                <w:spacing w:val="-4"/>
              </w:rPr>
              <w:t>11.0</w:t>
            </w:r>
          </w:p>
        </w:tc>
        <w:tc>
          <w:tcPr>
            <w:tcW w:w="1219" w:type="dxa"/>
            <w:vAlign w:val="top"/>
          </w:tcPr>
          <w:p>
            <w:pPr>
              <w:pStyle w:val="39"/>
              <w:spacing w:before="118" w:line="183" w:lineRule="auto"/>
              <w:ind w:left="287"/>
            </w:pPr>
            <w:r>
              <w:rPr>
                <w:spacing w:val="-2"/>
              </w:rPr>
              <w:t>200-224</w:t>
            </w:r>
          </w:p>
        </w:tc>
        <w:tc>
          <w:tcPr>
            <w:tcW w:w="1573" w:type="dxa"/>
            <w:vAlign w:val="top"/>
          </w:tcPr>
          <w:p>
            <w:pPr>
              <w:pStyle w:val="39"/>
              <w:spacing w:before="117" w:line="184" w:lineRule="auto"/>
              <w:ind w:left="598"/>
            </w:pPr>
            <w:r>
              <w:rPr>
                <w:spacing w:val="-4"/>
              </w:rPr>
              <w:t>10.5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trPr>
        <w:tc>
          <w:tcPr>
            <w:tcW w:w="944" w:type="dxa"/>
            <w:vAlign w:val="top"/>
          </w:tcPr>
          <w:p>
            <w:pPr>
              <w:pStyle w:val="39"/>
              <w:spacing w:before="72" w:line="219" w:lineRule="auto"/>
              <w:ind w:left="285"/>
            </w:pPr>
            <w:r>
              <w:rPr>
                <w:spacing w:val="-19"/>
              </w:rPr>
              <w:t>日 川</w:t>
            </w:r>
          </w:p>
        </w:tc>
        <w:tc>
          <w:tcPr>
            <w:tcW w:w="1159" w:type="dxa"/>
            <w:vAlign w:val="top"/>
          </w:tcPr>
          <w:p>
            <w:pPr>
              <w:pStyle w:val="39"/>
              <w:spacing w:before="89" w:line="215" w:lineRule="auto"/>
              <w:ind w:left="341"/>
            </w:pPr>
            <w:r>
              <w:rPr>
                <w:spacing w:val="-5"/>
              </w:rPr>
              <w:t>≥225</w:t>
            </w:r>
          </w:p>
        </w:tc>
        <w:tc>
          <w:tcPr>
            <w:tcW w:w="1638" w:type="dxa"/>
            <w:vAlign w:val="top"/>
          </w:tcPr>
          <w:p>
            <w:pPr>
              <w:pStyle w:val="39"/>
              <w:spacing w:before="117" w:line="184" w:lineRule="auto"/>
              <w:ind w:left="632"/>
            </w:pPr>
            <w:r>
              <w:rPr>
                <w:spacing w:val="-4"/>
              </w:rPr>
              <w:t>12.0</w:t>
            </w:r>
          </w:p>
        </w:tc>
        <w:tc>
          <w:tcPr>
            <w:tcW w:w="1189" w:type="dxa"/>
            <w:vAlign w:val="top"/>
          </w:tcPr>
          <w:p>
            <w:pPr>
              <w:pStyle w:val="39"/>
              <w:spacing w:before="118" w:line="183" w:lineRule="auto"/>
              <w:ind w:left="274"/>
            </w:pPr>
            <w:r>
              <w:rPr>
                <w:spacing w:val="-2"/>
              </w:rPr>
              <w:t>200-224</w:t>
            </w:r>
          </w:p>
        </w:tc>
        <w:tc>
          <w:tcPr>
            <w:tcW w:w="1598" w:type="dxa"/>
            <w:vAlign w:val="top"/>
          </w:tcPr>
          <w:p>
            <w:pPr>
              <w:pStyle w:val="39"/>
              <w:spacing w:before="117" w:line="184" w:lineRule="auto"/>
              <w:ind w:left="615"/>
            </w:pPr>
            <w:r>
              <w:rPr>
                <w:spacing w:val="-4"/>
              </w:rPr>
              <w:t>11.5</w:t>
            </w:r>
          </w:p>
        </w:tc>
        <w:tc>
          <w:tcPr>
            <w:tcW w:w="1219" w:type="dxa"/>
            <w:vAlign w:val="top"/>
          </w:tcPr>
          <w:p>
            <w:pPr>
              <w:pStyle w:val="39"/>
              <w:spacing w:before="117" w:line="184" w:lineRule="auto"/>
              <w:ind w:left="287"/>
            </w:pPr>
            <w:r>
              <w:rPr>
                <w:spacing w:val="-3"/>
              </w:rPr>
              <w:t>175-199</w:t>
            </w:r>
          </w:p>
        </w:tc>
        <w:tc>
          <w:tcPr>
            <w:tcW w:w="1573" w:type="dxa"/>
            <w:vAlign w:val="top"/>
          </w:tcPr>
          <w:p>
            <w:pPr>
              <w:pStyle w:val="39"/>
              <w:spacing w:before="117" w:line="184" w:lineRule="auto"/>
              <w:ind w:left="598"/>
            </w:pPr>
            <w:r>
              <w:rPr>
                <w:spacing w:val="-4"/>
              </w:rPr>
              <w:t>11.0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44" w:type="dxa"/>
            <w:vAlign w:val="top"/>
          </w:tcPr>
          <w:p>
            <w:pPr>
              <w:pStyle w:val="39"/>
              <w:spacing w:before="86" w:line="222" w:lineRule="auto"/>
              <w:ind w:left="285"/>
            </w:pPr>
            <w:r>
              <w:rPr>
                <w:spacing w:val="9"/>
              </w:rPr>
              <w:t>白凤</w:t>
            </w:r>
          </w:p>
        </w:tc>
        <w:tc>
          <w:tcPr>
            <w:tcW w:w="1159" w:type="dxa"/>
            <w:vAlign w:val="top"/>
          </w:tcPr>
          <w:p>
            <w:pPr>
              <w:pStyle w:val="39"/>
              <w:spacing w:before="100" w:line="224" w:lineRule="auto"/>
              <w:ind w:left="341"/>
            </w:pPr>
            <w:r>
              <w:rPr>
                <w:spacing w:val="-5"/>
              </w:rPr>
              <w:t>≥250</w:t>
            </w:r>
          </w:p>
        </w:tc>
        <w:tc>
          <w:tcPr>
            <w:tcW w:w="1638" w:type="dxa"/>
            <w:vAlign w:val="top"/>
          </w:tcPr>
          <w:p>
            <w:pPr>
              <w:pStyle w:val="39"/>
              <w:spacing w:before="128" w:line="184" w:lineRule="auto"/>
              <w:ind w:left="632"/>
            </w:pPr>
            <w:r>
              <w:rPr>
                <w:spacing w:val="-4"/>
              </w:rPr>
              <w:t>12.0</w:t>
            </w:r>
          </w:p>
        </w:tc>
        <w:tc>
          <w:tcPr>
            <w:tcW w:w="1189" w:type="dxa"/>
            <w:vAlign w:val="top"/>
          </w:tcPr>
          <w:p>
            <w:pPr>
              <w:pStyle w:val="39"/>
              <w:spacing w:before="129" w:line="183" w:lineRule="auto"/>
              <w:ind w:left="274"/>
            </w:pPr>
            <w:r>
              <w:rPr>
                <w:spacing w:val="-2"/>
              </w:rPr>
              <w:t>225-249</w:t>
            </w:r>
          </w:p>
        </w:tc>
        <w:tc>
          <w:tcPr>
            <w:tcW w:w="1598" w:type="dxa"/>
            <w:vAlign w:val="top"/>
          </w:tcPr>
          <w:p>
            <w:pPr>
              <w:pStyle w:val="39"/>
              <w:spacing w:before="128" w:line="184" w:lineRule="auto"/>
              <w:ind w:left="615"/>
            </w:pPr>
            <w:r>
              <w:rPr>
                <w:spacing w:val="-4"/>
              </w:rPr>
              <w:t>11.5</w:t>
            </w:r>
          </w:p>
        </w:tc>
        <w:tc>
          <w:tcPr>
            <w:tcW w:w="1219" w:type="dxa"/>
            <w:vAlign w:val="top"/>
          </w:tcPr>
          <w:p>
            <w:pPr>
              <w:pStyle w:val="39"/>
              <w:spacing w:before="129" w:line="183" w:lineRule="auto"/>
              <w:ind w:left="287"/>
            </w:pPr>
            <w:r>
              <w:rPr>
                <w:spacing w:val="-2"/>
              </w:rPr>
              <w:t>200-224</w:t>
            </w:r>
          </w:p>
        </w:tc>
        <w:tc>
          <w:tcPr>
            <w:tcW w:w="1573" w:type="dxa"/>
            <w:vAlign w:val="top"/>
          </w:tcPr>
          <w:p>
            <w:pPr>
              <w:pStyle w:val="39"/>
              <w:spacing w:before="128" w:line="184" w:lineRule="auto"/>
              <w:ind w:left="598"/>
            </w:pPr>
            <w:r>
              <w:rPr>
                <w:spacing w:val="-4"/>
              </w:rPr>
              <w:t>11.0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trPr>
        <w:tc>
          <w:tcPr>
            <w:tcW w:w="944" w:type="dxa"/>
            <w:vAlign w:val="top"/>
          </w:tcPr>
          <w:p>
            <w:pPr>
              <w:pStyle w:val="39"/>
              <w:spacing w:before="74" w:line="220" w:lineRule="auto"/>
              <w:ind w:left="195"/>
            </w:pPr>
            <w:r>
              <w:rPr>
                <w:spacing w:val="-2"/>
              </w:rPr>
              <w:t>新白凤</w:t>
            </w:r>
          </w:p>
        </w:tc>
        <w:tc>
          <w:tcPr>
            <w:tcW w:w="1159" w:type="dxa"/>
            <w:vAlign w:val="top"/>
          </w:tcPr>
          <w:p>
            <w:pPr>
              <w:pStyle w:val="39"/>
              <w:spacing w:before="91" w:line="213" w:lineRule="auto"/>
              <w:ind w:left="341"/>
            </w:pPr>
            <w:r>
              <w:rPr>
                <w:spacing w:val="-5"/>
              </w:rPr>
              <w:t>≥275</w:t>
            </w:r>
          </w:p>
        </w:tc>
        <w:tc>
          <w:tcPr>
            <w:tcW w:w="1638" w:type="dxa"/>
            <w:vAlign w:val="top"/>
          </w:tcPr>
          <w:p>
            <w:pPr>
              <w:pStyle w:val="39"/>
              <w:spacing w:before="119" w:line="184" w:lineRule="auto"/>
              <w:ind w:left="632"/>
            </w:pPr>
            <w:r>
              <w:rPr>
                <w:spacing w:val="-4"/>
              </w:rPr>
              <w:t>12.0</w:t>
            </w:r>
          </w:p>
        </w:tc>
        <w:tc>
          <w:tcPr>
            <w:tcW w:w="1189" w:type="dxa"/>
            <w:vAlign w:val="top"/>
          </w:tcPr>
          <w:p>
            <w:pPr>
              <w:pStyle w:val="39"/>
              <w:spacing w:before="120" w:line="183" w:lineRule="auto"/>
              <w:ind w:left="274"/>
            </w:pPr>
            <w:r>
              <w:rPr>
                <w:spacing w:val="-2"/>
              </w:rPr>
              <w:t>250-274</w:t>
            </w:r>
          </w:p>
        </w:tc>
        <w:tc>
          <w:tcPr>
            <w:tcW w:w="1598" w:type="dxa"/>
            <w:vAlign w:val="top"/>
          </w:tcPr>
          <w:p>
            <w:pPr>
              <w:pStyle w:val="39"/>
              <w:spacing w:before="119" w:line="184" w:lineRule="auto"/>
              <w:ind w:left="615"/>
            </w:pPr>
            <w:r>
              <w:rPr>
                <w:spacing w:val="-4"/>
              </w:rPr>
              <w:t>11.5</w:t>
            </w:r>
          </w:p>
        </w:tc>
        <w:tc>
          <w:tcPr>
            <w:tcW w:w="1219" w:type="dxa"/>
            <w:vAlign w:val="top"/>
          </w:tcPr>
          <w:p>
            <w:pPr>
              <w:pStyle w:val="39"/>
              <w:spacing w:before="120" w:line="183" w:lineRule="auto"/>
              <w:ind w:left="287"/>
            </w:pPr>
            <w:r>
              <w:rPr>
                <w:spacing w:val="-2"/>
              </w:rPr>
              <w:t>225-249</w:t>
            </w:r>
          </w:p>
        </w:tc>
        <w:tc>
          <w:tcPr>
            <w:tcW w:w="1573" w:type="dxa"/>
            <w:vAlign w:val="top"/>
          </w:tcPr>
          <w:p>
            <w:pPr>
              <w:pStyle w:val="39"/>
              <w:spacing w:before="119" w:line="184" w:lineRule="auto"/>
              <w:ind w:left="598"/>
            </w:pPr>
            <w:r>
              <w:rPr>
                <w:spacing w:val="-4"/>
              </w:rPr>
              <w:t>11.0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44" w:type="dxa"/>
            <w:vAlign w:val="top"/>
          </w:tcPr>
          <w:p>
            <w:pPr>
              <w:pStyle w:val="39"/>
              <w:spacing w:before="85" w:line="219" w:lineRule="auto"/>
              <w:ind w:left="285"/>
            </w:pPr>
            <w:r>
              <w:rPr>
                <w:spacing w:val="-2"/>
              </w:rPr>
              <w:t>朝晖</w:t>
            </w:r>
          </w:p>
        </w:tc>
        <w:tc>
          <w:tcPr>
            <w:tcW w:w="1159" w:type="dxa"/>
            <w:vAlign w:val="top"/>
          </w:tcPr>
          <w:p>
            <w:pPr>
              <w:pStyle w:val="39"/>
              <w:spacing w:before="102" w:line="222" w:lineRule="auto"/>
              <w:ind w:left="341"/>
            </w:pPr>
            <w:r>
              <w:rPr>
                <w:spacing w:val="-5"/>
              </w:rPr>
              <w:t>≥275</w:t>
            </w:r>
          </w:p>
        </w:tc>
        <w:tc>
          <w:tcPr>
            <w:tcW w:w="1638" w:type="dxa"/>
            <w:vAlign w:val="top"/>
          </w:tcPr>
          <w:p>
            <w:pPr>
              <w:pStyle w:val="39"/>
              <w:spacing w:before="130" w:line="184" w:lineRule="auto"/>
              <w:ind w:left="632"/>
            </w:pPr>
            <w:r>
              <w:rPr>
                <w:spacing w:val="-4"/>
              </w:rPr>
              <w:t>12.5</w:t>
            </w:r>
          </w:p>
        </w:tc>
        <w:tc>
          <w:tcPr>
            <w:tcW w:w="1189" w:type="dxa"/>
            <w:vAlign w:val="top"/>
          </w:tcPr>
          <w:p>
            <w:pPr>
              <w:pStyle w:val="39"/>
              <w:spacing w:before="131" w:line="183" w:lineRule="auto"/>
              <w:ind w:left="274"/>
            </w:pPr>
            <w:r>
              <w:rPr>
                <w:spacing w:val="-2"/>
              </w:rPr>
              <w:t>250-274</w:t>
            </w:r>
          </w:p>
        </w:tc>
        <w:tc>
          <w:tcPr>
            <w:tcW w:w="1598" w:type="dxa"/>
            <w:vAlign w:val="top"/>
          </w:tcPr>
          <w:p>
            <w:pPr>
              <w:pStyle w:val="39"/>
              <w:spacing w:before="130" w:line="184" w:lineRule="auto"/>
              <w:ind w:left="615"/>
            </w:pPr>
            <w:r>
              <w:rPr>
                <w:spacing w:val="-4"/>
              </w:rPr>
              <w:t>12.0</w:t>
            </w:r>
          </w:p>
        </w:tc>
        <w:tc>
          <w:tcPr>
            <w:tcW w:w="1219" w:type="dxa"/>
            <w:vAlign w:val="top"/>
          </w:tcPr>
          <w:p>
            <w:pPr>
              <w:pStyle w:val="39"/>
              <w:spacing w:before="131" w:line="183" w:lineRule="auto"/>
              <w:ind w:left="287"/>
            </w:pPr>
            <w:r>
              <w:rPr>
                <w:spacing w:val="-2"/>
              </w:rPr>
              <w:t>225-249</w:t>
            </w:r>
          </w:p>
        </w:tc>
        <w:tc>
          <w:tcPr>
            <w:tcW w:w="1573" w:type="dxa"/>
            <w:vAlign w:val="top"/>
          </w:tcPr>
          <w:p>
            <w:pPr>
              <w:pStyle w:val="39"/>
              <w:spacing w:before="130" w:line="184" w:lineRule="auto"/>
              <w:ind w:left="598"/>
            </w:pPr>
            <w:r>
              <w:rPr>
                <w:spacing w:val="-4"/>
              </w:rPr>
              <w:t>11.5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944" w:type="dxa"/>
            <w:vAlign w:val="top"/>
          </w:tcPr>
          <w:p>
            <w:pPr>
              <w:pStyle w:val="39"/>
              <w:spacing w:before="77" w:line="220" w:lineRule="auto"/>
              <w:ind w:left="105"/>
            </w:pPr>
            <w:r>
              <w:rPr>
                <w:spacing w:val="2"/>
              </w:rPr>
              <w:t>阳山蜜露</w:t>
            </w:r>
          </w:p>
        </w:tc>
        <w:tc>
          <w:tcPr>
            <w:tcW w:w="1159" w:type="dxa"/>
            <w:vAlign w:val="top"/>
          </w:tcPr>
          <w:p>
            <w:pPr>
              <w:pStyle w:val="39"/>
              <w:spacing w:before="93" w:line="222" w:lineRule="auto"/>
              <w:ind w:left="341"/>
            </w:pPr>
            <w:r>
              <w:rPr>
                <w:spacing w:val="-5"/>
              </w:rPr>
              <w:t>≥275</w:t>
            </w:r>
          </w:p>
        </w:tc>
        <w:tc>
          <w:tcPr>
            <w:tcW w:w="1638" w:type="dxa"/>
            <w:vAlign w:val="top"/>
          </w:tcPr>
          <w:p>
            <w:pPr>
              <w:pStyle w:val="39"/>
              <w:spacing w:before="121" w:line="184" w:lineRule="auto"/>
              <w:ind w:left="632"/>
            </w:pPr>
            <w:r>
              <w:rPr>
                <w:spacing w:val="-4"/>
              </w:rPr>
              <w:t>13.5</w:t>
            </w:r>
          </w:p>
        </w:tc>
        <w:tc>
          <w:tcPr>
            <w:tcW w:w="1189" w:type="dxa"/>
            <w:vAlign w:val="top"/>
          </w:tcPr>
          <w:p>
            <w:pPr>
              <w:pStyle w:val="39"/>
              <w:spacing w:before="122" w:line="183" w:lineRule="auto"/>
              <w:ind w:left="274"/>
            </w:pPr>
            <w:r>
              <w:rPr>
                <w:spacing w:val="-2"/>
              </w:rPr>
              <w:t>250-274</w:t>
            </w:r>
          </w:p>
        </w:tc>
        <w:tc>
          <w:tcPr>
            <w:tcW w:w="1598" w:type="dxa"/>
            <w:vAlign w:val="top"/>
          </w:tcPr>
          <w:p>
            <w:pPr>
              <w:pStyle w:val="39"/>
              <w:spacing w:before="121" w:line="184" w:lineRule="auto"/>
              <w:ind w:left="615"/>
            </w:pPr>
            <w:r>
              <w:rPr>
                <w:spacing w:val="-4"/>
              </w:rPr>
              <w:t>13.0</w:t>
            </w:r>
          </w:p>
        </w:tc>
        <w:tc>
          <w:tcPr>
            <w:tcW w:w="1219" w:type="dxa"/>
            <w:vAlign w:val="top"/>
          </w:tcPr>
          <w:p>
            <w:pPr>
              <w:pStyle w:val="39"/>
              <w:spacing w:before="122" w:line="183" w:lineRule="auto"/>
              <w:ind w:left="287"/>
            </w:pPr>
            <w:r>
              <w:rPr>
                <w:spacing w:val="-2"/>
              </w:rPr>
              <w:t>225-249</w:t>
            </w:r>
          </w:p>
        </w:tc>
        <w:tc>
          <w:tcPr>
            <w:tcW w:w="1573" w:type="dxa"/>
            <w:vAlign w:val="top"/>
          </w:tcPr>
          <w:p>
            <w:pPr>
              <w:pStyle w:val="39"/>
              <w:spacing w:before="121" w:line="184" w:lineRule="auto"/>
              <w:ind w:left="598"/>
            </w:pPr>
            <w:r>
              <w:rPr>
                <w:spacing w:val="-4"/>
              </w:rPr>
              <w:t>12.0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atLeast"/>
        </w:trPr>
        <w:tc>
          <w:tcPr>
            <w:tcW w:w="944" w:type="dxa"/>
            <w:vAlign w:val="top"/>
          </w:tcPr>
          <w:p>
            <w:pPr>
              <w:pStyle w:val="39"/>
              <w:spacing w:before="76" w:line="219" w:lineRule="auto"/>
              <w:ind w:left="105"/>
            </w:pPr>
            <w:r>
              <w:rPr>
                <w:spacing w:val="-2"/>
              </w:rPr>
              <w:t>湖景蜜露</w:t>
            </w:r>
          </w:p>
        </w:tc>
        <w:tc>
          <w:tcPr>
            <w:tcW w:w="1159" w:type="dxa"/>
            <w:vAlign w:val="top"/>
          </w:tcPr>
          <w:p>
            <w:pPr>
              <w:pStyle w:val="39"/>
              <w:spacing w:before="93" w:line="221" w:lineRule="auto"/>
              <w:ind w:left="341"/>
            </w:pPr>
            <w:r>
              <w:rPr>
                <w:spacing w:val="-5"/>
              </w:rPr>
              <w:t>≥265</w:t>
            </w:r>
          </w:p>
        </w:tc>
        <w:tc>
          <w:tcPr>
            <w:tcW w:w="1638" w:type="dxa"/>
            <w:vAlign w:val="top"/>
          </w:tcPr>
          <w:p>
            <w:pPr>
              <w:pStyle w:val="39"/>
              <w:spacing w:before="121" w:line="184" w:lineRule="auto"/>
              <w:ind w:left="632"/>
            </w:pPr>
            <w:r>
              <w:rPr>
                <w:spacing w:val="-4"/>
              </w:rPr>
              <w:t>13.5</w:t>
            </w:r>
          </w:p>
        </w:tc>
        <w:tc>
          <w:tcPr>
            <w:tcW w:w="1189" w:type="dxa"/>
            <w:vAlign w:val="top"/>
          </w:tcPr>
          <w:p>
            <w:pPr>
              <w:pStyle w:val="39"/>
              <w:spacing w:before="122" w:line="183" w:lineRule="auto"/>
              <w:ind w:left="274"/>
            </w:pPr>
            <w:r>
              <w:rPr>
                <w:spacing w:val="-2"/>
              </w:rPr>
              <w:t>240-264</w:t>
            </w:r>
          </w:p>
        </w:tc>
        <w:tc>
          <w:tcPr>
            <w:tcW w:w="1598" w:type="dxa"/>
            <w:vAlign w:val="top"/>
          </w:tcPr>
          <w:p>
            <w:pPr>
              <w:pStyle w:val="39"/>
              <w:spacing w:before="121" w:line="184" w:lineRule="auto"/>
              <w:ind w:left="615"/>
            </w:pPr>
            <w:r>
              <w:rPr>
                <w:spacing w:val="-4"/>
              </w:rPr>
              <w:t>13.0</w:t>
            </w:r>
          </w:p>
        </w:tc>
        <w:tc>
          <w:tcPr>
            <w:tcW w:w="1219" w:type="dxa"/>
            <w:vAlign w:val="top"/>
          </w:tcPr>
          <w:p>
            <w:pPr>
              <w:pStyle w:val="39"/>
              <w:spacing w:before="121" w:line="184" w:lineRule="auto"/>
              <w:ind w:left="287"/>
            </w:pPr>
            <w:r>
              <w:rPr>
                <w:spacing w:val="-2"/>
              </w:rPr>
              <w:t>215-239</w:t>
            </w:r>
          </w:p>
        </w:tc>
        <w:tc>
          <w:tcPr>
            <w:tcW w:w="1573" w:type="dxa"/>
            <w:vAlign w:val="top"/>
          </w:tcPr>
          <w:p>
            <w:pPr>
              <w:pStyle w:val="39"/>
              <w:spacing w:before="121" w:line="184" w:lineRule="auto"/>
              <w:ind w:left="598"/>
            </w:pPr>
            <w:r>
              <w:rPr>
                <w:spacing w:val="-4"/>
              </w:rPr>
              <w:t>12.0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944" w:type="dxa"/>
            <w:vAlign w:val="top"/>
          </w:tcPr>
          <w:p>
            <w:pPr>
              <w:pStyle w:val="39"/>
              <w:spacing w:before="77" w:line="219" w:lineRule="auto"/>
              <w:ind w:left="195"/>
            </w:pPr>
            <w:r>
              <w:rPr>
                <w:spacing w:val="3"/>
              </w:rPr>
              <w:t>红湖景</w:t>
            </w:r>
          </w:p>
        </w:tc>
        <w:tc>
          <w:tcPr>
            <w:tcW w:w="1159" w:type="dxa"/>
            <w:vAlign w:val="top"/>
          </w:tcPr>
          <w:p>
            <w:pPr>
              <w:pStyle w:val="39"/>
              <w:spacing w:before="94" w:line="221" w:lineRule="auto"/>
              <w:ind w:left="341"/>
            </w:pPr>
            <w:r>
              <w:rPr>
                <w:spacing w:val="-5"/>
              </w:rPr>
              <w:t>≥275</w:t>
            </w:r>
          </w:p>
        </w:tc>
        <w:tc>
          <w:tcPr>
            <w:tcW w:w="1638" w:type="dxa"/>
            <w:vAlign w:val="top"/>
          </w:tcPr>
          <w:p>
            <w:pPr>
              <w:pStyle w:val="39"/>
              <w:spacing w:before="122" w:line="184" w:lineRule="auto"/>
              <w:ind w:left="632"/>
            </w:pPr>
            <w:r>
              <w:rPr>
                <w:spacing w:val="-4"/>
              </w:rPr>
              <w:t>13.5</w:t>
            </w:r>
          </w:p>
        </w:tc>
        <w:tc>
          <w:tcPr>
            <w:tcW w:w="1189" w:type="dxa"/>
            <w:vAlign w:val="top"/>
          </w:tcPr>
          <w:p>
            <w:pPr>
              <w:pStyle w:val="39"/>
              <w:spacing w:before="123" w:line="183" w:lineRule="auto"/>
              <w:ind w:left="274"/>
            </w:pPr>
            <w:r>
              <w:rPr>
                <w:spacing w:val="-2"/>
              </w:rPr>
              <w:t>250-274</w:t>
            </w:r>
          </w:p>
        </w:tc>
        <w:tc>
          <w:tcPr>
            <w:tcW w:w="1598" w:type="dxa"/>
            <w:vAlign w:val="top"/>
          </w:tcPr>
          <w:p>
            <w:pPr>
              <w:pStyle w:val="39"/>
              <w:spacing w:before="122" w:line="184" w:lineRule="auto"/>
              <w:ind w:left="615"/>
            </w:pPr>
            <w:r>
              <w:rPr>
                <w:spacing w:val="-4"/>
              </w:rPr>
              <w:t>13.0</w:t>
            </w:r>
          </w:p>
        </w:tc>
        <w:tc>
          <w:tcPr>
            <w:tcW w:w="1219" w:type="dxa"/>
            <w:vAlign w:val="top"/>
          </w:tcPr>
          <w:p>
            <w:pPr>
              <w:pStyle w:val="39"/>
              <w:spacing w:before="123" w:line="183" w:lineRule="auto"/>
              <w:ind w:left="287"/>
            </w:pPr>
            <w:r>
              <w:rPr>
                <w:spacing w:val="-2"/>
              </w:rPr>
              <w:t>225-249</w:t>
            </w:r>
          </w:p>
        </w:tc>
        <w:tc>
          <w:tcPr>
            <w:tcW w:w="1573" w:type="dxa"/>
            <w:vAlign w:val="top"/>
          </w:tcPr>
          <w:p>
            <w:pPr>
              <w:pStyle w:val="39"/>
              <w:spacing w:before="122" w:line="184" w:lineRule="auto"/>
              <w:ind w:left="598"/>
            </w:pPr>
            <w:r>
              <w:rPr>
                <w:spacing w:val="-4"/>
              </w:rPr>
              <w:t>12.0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atLeast"/>
        </w:trPr>
        <w:tc>
          <w:tcPr>
            <w:tcW w:w="944" w:type="dxa"/>
            <w:vAlign w:val="top"/>
          </w:tcPr>
          <w:p>
            <w:pPr>
              <w:pStyle w:val="39"/>
              <w:spacing w:before="78" w:line="221" w:lineRule="auto"/>
              <w:ind w:left="285"/>
            </w:pPr>
            <w:r>
              <w:rPr>
                <w:spacing w:val="3"/>
              </w:rPr>
              <w:t>白花</w:t>
            </w:r>
          </w:p>
        </w:tc>
        <w:tc>
          <w:tcPr>
            <w:tcW w:w="1159" w:type="dxa"/>
            <w:vAlign w:val="top"/>
          </w:tcPr>
          <w:p>
            <w:pPr>
              <w:pStyle w:val="39"/>
              <w:spacing w:before="94" w:line="220" w:lineRule="auto"/>
              <w:ind w:left="341"/>
            </w:pPr>
            <w:r>
              <w:rPr>
                <w:spacing w:val="-5"/>
              </w:rPr>
              <w:t>≥250</w:t>
            </w:r>
          </w:p>
        </w:tc>
        <w:tc>
          <w:tcPr>
            <w:tcW w:w="1638" w:type="dxa"/>
            <w:vAlign w:val="top"/>
          </w:tcPr>
          <w:p>
            <w:pPr>
              <w:pStyle w:val="39"/>
              <w:spacing w:before="122" w:line="184" w:lineRule="auto"/>
              <w:ind w:left="632"/>
            </w:pPr>
            <w:r>
              <w:rPr>
                <w:spacing w:val="-4"/>
              </w:rPr>
              <w:t>13.5</w:t>
            </w:r>
          </w:p>
        </w:tc>
        <w:tc>
          <w:tcPr>
            <w:tcW w:w="1189" w:type="dxa"/>
            <w:vAlign w:val="top"/>
          </w:tcPr>
          <w:p>
            <w:pPr>
              <w:pStyle w:val="39"/>
              <w:spacing w:before="123" w:line="183" w:lineRule="auto"/>
              <w:ind w:left="274"/>
            </w:pPr>
            <w:r>
              <w:rPr>
                <w:spacing w:val="-2"/>
              </w:rPr>
              <w:t>225-249</w:t>
            </w:r>
          </w:p>
        </w:tc>
        <w:tc>
          <w:tcPr>
            <w:tcW w:w="1598" w:type="dxa"/>
            <w:vAlign w:val="top"/>
          </w:tcPr>
          <w:p>
            <w:pPr>
              <w:pStyle w:val="39"/>
              <w:spacing w:before="122" w:line="184" w:lineRule="auto"/>
              <w:ind w:left="615"/>
            </w:pPr>
            <w:r>
              <w:rPr>
                <w:spacing w:val="-4"/>
              </w:rPr>
              <w:t>13.0</w:t>
            </w:r>
          </w:p>
        </w:tc>
        <w:tc>
          <w:tcPr>
            <w:tcW w:w="1219" w:type="dxa"/>
            <w:vAlign w:val="top"/>
          </w:tcPr>
          <w:p>
            <w:pPr>
              <w:pStyle w:val="39"/>
              <w:spacing w:before="123" w:line="183" w:lineRule="auto"/>
              <w:ind w:left="287"/>
            </w:pPr>
            <w:r>
              <w:rPr>
                <w:spacing w:val="-2"/>
              </w:rPr>
              <w:t>200-224</w:t>
            </w:r>
          </w:p>
        </w:tc>
        <w:tc>
          <w:tcPr>
            <w:tcW w:w="1573" w:type="dxa"/>
            <w:vAlign w:val="top"/>
          </w:tcPr>
          <w:p>
            <w:pPr>
              <w:pStyle w:val="39"/>
              <w:spacing w:before="122" w:line="184" w:lineRule="auto"/>
              <w:ind w:left="598"/>
            </w:pPr>
            <w:r>
              <w:rPr>
                <w:spacing w:val="-4"/>
              </w:rPr>
              <w:t>12.0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944" w:type="dxa"/>
            <w:vAlign w:val="top"/>
          </w:tcPr>
          <w:p>
            <w:pPr>
              <w:pStyle w:val="39"/>
              <w:spacing w:before="78" w:line="220" w:lineRule="auto"/>
              <w:ind w:left="105"/>
            </w:pPr>
            <w:r>
              <w:rPr>
                <w:spacing w:val="1"/>
              </w:rPr>
              <w:t>阳山红花</w:t>
            </w:r>
          </w:p>
        </w:tc>
        <w:tc>
          <w:tcPr>
            <w:tcW w:w="1159" w:type="dxa"/>
            <w:vAlign w:val="top"/>
          </w:tcPr>
          <w:p>
            <w:pPr>
              <w:pStyle w:val="39"/>
              <w:spacing w:before="95" w:line="225" w:lineRule="auto"/>
              <w:ind w:left="341"/>
            </w:pPr>
            <w:r>
              <w:rPr>
                <w:spacing w:val="-5"/>
              </w:rPr>
              <w:t>≥275</w:t>
            </w:r>
          </w:p>
        </w:tc>
        <w:tc>
          <w:tcPr>
            <w:tcW w:w="1638" w:type="dxa"/>
            <w:vAlign w:val="top"/>
          </w:tcPr>
          <w:p>
            <w:pPr>
              <w:pStyle w:val="39"/>
              <w:spacing w:before="123" w:line="184" w:lineRule="auto"/>
              <w:ind w:left="632"/>
            </w:pPr>
            <w:r>
              <w:rPr>
                <w:spacing w:val="-4"/>
              </w:rPr>
              <w:t>14.0</w:t>
            </w:r>
          </w:p>
        </w:tc>
        <w:tc>
          <w:tcPr>
            <w:tcW w:w="1189" w:type="dxa"/>
            <w:vAlign w:val="top"/>
          </w:tcPr>
          <w:p>
            <w:pPr>
              <w:pStyle w:val="39"/>
              <w:spacing w:before="124" w:line="183" w:lineRule="auto"/>
              <w:ind w:left="274"/>
            </w:pPr>
            <w:r>
              <w:rPr>
                <w:spacing w:val="-2"/>
              </w:rPr>
              <w:t>250-274</w:t>
            </w:r>
          </w:p>
        </w:tc>
        <w:tc>
          <w:tcPr>
            <w:tcW w:w="1598" w:type="dxa"/>
            <w:vAlign w:val="top"/>
          </w:tcPr>
          <w:p>
            <w:pPr>
              <w:pStyle w:val="39"/>
              <w:spacing w:before="123" w:line="184" w:lineRule="auto"/>
              <w:ind w:left="615"/>
            </w:pPr>
            <w:r>
              <w:rPr>
                <w:spacing w:val="-4"/>
              </w:rPr>
              <w:t>13.5</w:t>
            </w:r>
          </w:p>
        </w:tc>
        <w:tc>
          <w:tcPr>
            <w:tcW w:w="1219" w:type="dxa"/>
            <w:vAlign w:val="top"/>
          </w:tcPr>
          <w:p>
            <w:pPr>
              <w:pStyle w:val="39"/>
              <w:spacing w:before="124" w:line="183" w:lineRule="auto"/>
              <w:ind w:left="287"/>
            </w:pPr>
            <w:r>
              <w:rPr>
                <w:spacing w:val="-2"/>
              </w:rPr>
              <w:t>225-249</w:t>
            </w:r>
          </w:p>
        </w:tc>
        <w:tc>
          <w:tcPr>
            <w:tcW w:w="1573" w:type="dxa"/>
            <w:vAlign w:val="top"/>
          </w:tcPr>
          <w:p>
            <w:pPr>
              <w:pStyle w:val="39"/>
              <w:spacing w:before="123" w:line="184" w:lineRule="auto"/>
              <w:ind w:left="598"/>
            </w:pPr>
            <w:r>
              <w:rPr>
                <w:spacing w:val="-4"/>
              </w:rPr>
              <w:t>12.5</w:t>
            </w:r>
          </w:p>
        </w:tc>
      </w:tr>
    </w:tbl>
    <w:p>
      <w:pPr>
        <w:rPr>
          <w:rFonts w:ascii="Arial"/>
          <w:sz w:val="21"/>
        </w:rPr>
      </w:pPr>
    </w:p>
    <w:p>
      <w:pPr>
        <w:spacing w:line="216" w:lineRule="auto"/>
        <w:rPr>
          <w:rFonts w:ascii="宋体" w:hAnsi="宋体" w:eastAsia="宋体" w:cs="宋体"/>
          <w:sz w:val="21"/>
          <w:szCs w:val="21"/>
        </w:rPr>
        <w:sectPr>
          <w:footerReference r:id="rId7" w:type="default"/>
          <w:pgSz w:w="11900" w:h="16840"/>
          <w:pgMar w:top="1431" w:right="799" w:bottom="1105" w:left="1209" w:header="0" w:footer="956" w:gutter="0"/>
          <w:cols w:space="720" w:num="1"/>
        </w:sectPr>
      </w:pPr>
    </w:p>
    <w:p>
      <w:pPr>
        <w:pStyle w:val="4"/>
        <w:spacing w:before="3"/>
        <w:jc w:val="center"/>
        <w:rPr>
          <w:rFonts w:ascii="黑体"/>
          <w:sz w:val="24"/>
        </w:rPr>
      </w:pPr>
      <w:r>
        <w:drawing>
          <wp:inline distT="0" distB="0" distL="0" distR="0">
            <wp:extent cx="1485900" cy="317500"/>
            <wp:effectExtent l="0" t="0" r="0" b="6350"/>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6"/>
    </w:p>
    <w:sectPr>
      <w:headerReference r:id="rId8" w:type="default"/>
      <w:footerReference r:id="rId9" w:type="default"/>
      <w:pgSz w:w="11910" w:h="16840"/>
      <w:pgMar w:top="1660" w:right="660" w:bottom="1340" w:left="1300" w:header="1442" w:footer="1141"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fldChar w:fldCharType="begin"/>
    </w:r>
    <w:r>
      <w:instrText xml:space="preserve"> PAGE  \* MERGEFORMAT </w:instrText>
    </w:r>
    <w:r>
      <w:fldChar w:fldCharType="separate"/>
    </w:r>
    <w:r>
      <w:t>III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0" w:lineRule="auto"/>
      <w:ind w:left="9180"/>
      <w:rPr>
        <w:rFonts w:ascii="宋体" w:hAnsi="宋体" w:eastAsia="宋体" w:cs="宋体"/>
        <w:sz w:val="15"/>
        <w:szCs w:val="15"/>
      </w:rPr>
    </w:pPr>
    <w:r>
      <w:rPr>
        <w:rFonts w:ascii="宋体" w:hAnsi="宋体" w:eastAsia="宋体" w:cs="宋体"/>
        <w:sz w:val="15"/>
        <w:szCs w:val="15"/>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0" w:lineRule="auto"/>
      <w:ind w:left="9080"/>
      <w:rPr>
        <w:rFonts w:ascii="宋体" w:hAnsi="宋体" w:eastAsia="宋体" w:cs="宋体"/>
        <w:sz w:val="15"/>
        <w:szCs w:val="15"/>
      </w:rPr>
    </w:pPr>
    <w:r>
      <w:rPr>
        <w:rFonts w:ascii="宋体" w:hAnsi="宋体" w:eastAsia="宋体" w:cs="宋体"/>
        <w:sz w:val="15"/>
        <w:szCs w:val="15"/>
      </w:rPr>
      <w:t>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0" w:lineRule="auto"/>
      <w:ind w:left="9120"/>
      <w:rPr>
        <w:rFonts w:ascii="宋体" w:hAnsi="宋体" w:eastAsia="宋体" w:cs="宋体"/>
        <w:sz w:val="15"/>
        <w:szCs w:val="15"/>
      </w:rPr>
    </w:pPr>
    <w:r>
      <w:rPr>
        <w:rFonts w:ascii="宋体" w:hAnsi="宋体" w:eastAsia="宋体" w:cs="宋体"/>
        <w:sz w:val="15"/>
        <w:szCs w:val="15"/>
      </w:rPr>
      <w:t>3</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before="0"/>
      <w:ind w:firstLine="0" w:firstLineChars="0"/>
    </w:pPr>
  </w:p>
  <w:p>
    <w:pPr>
      <w:pStyle w:val="4"/>
      <w:spacing w:before="0"/>
      <w:ind w:firstLine="0" w:firstLineChars="0"/>
      <w:rPr>
        <w:sz w:val="20"/>
      </w:rPr>
    </w:pPr>
    <w:r>
      <w:rPr>
        <w:lang w:val="en-US" w:bidi="ar-SA"/>
      </w:rPr>
      <mc:AlternateContent>
        <mc:Choice Requires="wps">
          <w:drawing>
            <wp:anchor distT="0" distB="0" distL="114300" distR="114300" simplePos="0" relativeHeight="251660288" behindDoc="1" locked="0" layoutInCell="1" allowOverlap="1">
              <wp:simplePos x="0" y="0"/>
              <wp:positionH relativeFrom="page">
                <wp:posOffset>6631305</wp:posOffset>
              </wp:positionH>
              <wp:positionV relativeFrom="page">
                <wp:posOffset>9827260</wp:posOffset>
              </wp:positionV>
              <wp:extent cx="107950" cy="139700"/>
              <wp:effectExtent l="0" t="0" r="0" b="0"/>
              <wp:wrapNone/>
              <wp:docPr id="6" name="文本框 3"/>
              <wp:cNvGraphicFramePr/>
              <a:graphic xmlns:a="http://schemas.openxmlformats.org/drawingml/2006/main">
                <a:graphicData uri="http://schemas.microsoft.com/office/word/2010/wordprocessingShape">
                  <wps:wsp>
                    <wps:cNvSpPr txBox="1"/>
                    <wps:spPr>
                      <a:xfrm>
                        <a:off x="0" y="0"/>
                        <a:ext cx="107950" cy="139700"/>
                      </a:xfrm>
                      <a:prstGeom prst="rect">
                        <a:avLst/>
                      </a:prstGeom>
                      <a:noFill/>
                      <a:ln>
                        <a:noFill/>
                      </a:ln>
                    </wps:spPr>
                    <wps:txbx>
                      <w:txbxContent>
                        <w:p>
                          <w:pPr>
                            <w:spacing w:line="220" w:lineRule="exact"/>
                            <w:ind w:left="40"/>
                            <w:rPr>
                              <w:sz w:val="18"/>
                            </w:rPr>
                          </w:pPr>
                          <w:r>
                            <w:fldChar w:fldCharType="begin"/>
                          </w:r>
                          <w:r>
                            <w:rPr>
                              <w:sz w:val="18"/>
                            </w:rPr>
                            <w:instrText xml:space="preserve"> PAGE </w:instrText>
                          </w:r>
                          <w:r>
                            <w:fldChar w:fldCharType="separate"/>
                          </w:r>
                          <w:r>
                            <w:rPr>
                              <w:sz w:val="18"/>
                            </w:rPr>
                            <w:t>6</w:t>
                          </w:r>
                          <w:r>
                            <w:fldChar w:fldCharType="end"/>
                          </w:r>
                        </w:p>
                      </w:txbxContent>
                    </wps:txbx>
                    <wps:bodyPr lIns="0" tIns="0" rIns="0" bIns="0" upright="1"/>
                  </wps:wsp>
                </a:graphicData>
              </a:graphic>
            </wp:anchor>
          </w:drawing>
        </mc:Choice>
        <mc:Fallback>
          <w:pict>
            <v:shape id="文本框 3" o:spid="_x0000_s1026" o:spt="202" type="#_x0000_t202" style="position:absolute;left:0pt;margin-left:522.15pt;margin-top:773.8pt;height:11pt;width:8.5pt;mso-position-horizontal-relative:page;mso-position-vertical-relative:page;z-index:-251656192;mso-width-relative:page;mso-height-relative:page;" filled="f" stroked="f" coordsize="21600,21600" o:gfxdata="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I/gL0rbAAAADwEAAA8AAAAAAAAAAQAgAAAAIgAAAGRycy9kb3ducmV2LnhtbFBL&#10;AQIUABQAAAAIAIdO4kDH/O8WugEAAHEDAAAOAAAAAAAAAAEAIAAAACoBAABkcnMvZTJvRG9jLnht&#10;bFBLBQYAAAAABgAGAFkBAABWBQAAAAA=&#10;">
              <v:fill on="f" focussize="0,0"/>
              <v:stroke on="f"/>
              <v:imagedata o:title=""/>
              <o:lock v:ext="edit" aspectratio="f"/>
              <v:textbox inset="0mm,0mm,0mm,0mm">
                <w:txbxContent>
                  <w:p>
                    <w:pPr>
                      <w:spacing w:line="220" w:lineRule="exact"/>
                      <w:ind w:left="40"/>
                      <w:rPr>
                        <w:sz w:val="18"/>
                      </w:rPr>
                    </w:pPr>
                    <w:r>
                      <w:fldChar w:fldCharType="begin"/>
                    </w:r>
                    <w:r>
                      <w:rPr>
                        <w:sz w:val="18"/>
                      </w:rPr>
                      <w:instrText xml:space="preserve"> PAGE </w:instrText>
                    </w:r>
                    <w:r>
                      <w:fldChar w:fldCharType="separate"/>
                    </w:r>
                    <w:r>
                      <w:rPr>
                        <w:sz w:val="18"/>
                      </w:rPr>
                      <w:t>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t>DB32/T 39</w:t>
    </w:r>
    <w:r>
      <w:rPr>
        <w:rFonts w:hint="eastAsia"/>
        <w:lang w:val="en-US" w:eastAsia="zh-CN"/>
      </w:rPr>
      <w:t>3</w:t>
    </w:r>
    <w:r>
      <w:t>—</w:t>
    </w:r>
    <w:r>
      <w:rPr>
        <w:rFonts w:hint="eastAsia"/>
      </w:rPr>
      <w:t>20XX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5760085</wp:posOffset>
              </wp:positionH>
              <wp:positionV relativeFrom="page">
                <wp:posOffset>902335</wp:posOffset>
              </wp:positionV>
              <wp:extent cx="1093470" cy="172720"/>
              <wp:effectExtent l="0" t="0" r="0" b="0"/>
              <wp:wrapNone/>
              <wp:docPr id="4" name="文本框 1"/>
              <wp:cNvGraphicFramePr/>
              <a:graphic xmlns:a="http://schemas.openxmlformats.org/drawingml/2006/main">
                <a:graphicData uri="http://schemas.microsoft.com/office/word/2010/wordprocessingShape">
                  <wps:wsp>
                    <wps:cNvSpPr txBox="1"/>
                    <wps:spPr>
                      <a:xfrm>
                        <a:off x="0" y="0"/>
                        <a:ext cx="1093470" cy="172720"/>
                      </a:xfrm>
                      <a:prstGeom prst="rect">
                        <a:avLst/>
                      </a:prstGeom>
                      <a:noFill/>
                      <a:ln>
                        <a:noFill/>
                      </a:ln>
                    </wps:spPr>
                    <wps:txbx>
                      <w:txbxContent>
                        <w:p>
                          <w:pPr>
                            <w:pStyle w:val="4"/>
                            <w:spacing w:line="240" w:lineRule="auto"/>
                            <w:ind w:left="0"/>
                          </w:pPr>
                          <w:r>
                            <w:t xml:space="preserve">DB32/T </w:t>
                          </w:r>
                          <w:r>
                            <w:rPr>
                              <w:rFonts w:hint="eastAsia"/>
                              <w:lang w:eastAsia="zh-CN"/>
                            </w:rPr>
                            <w:t>393</w:t>
                          </w:r>
                          <w:r>
                            <w:rPr>
                              <w:rFonts w:ascii="Times New Roman" w:hAnsi="Times New Roman"/>
                            </w:rPr>
                            <w:t>—</w:t>
                          </w:r>
                          <w:r>
                            <w:rPr>
                              <w:rFonts w:hint="eastAsia"/>
                            </w:rPr>
                            <w:t>20XX</w:t>
                          </w:r>
                        </w:p>
                      </w:txbxContent>
                    </wps:txbx>
                    <wps:bodyPr lIns="0" tIns="0" rIns="0" bIns="0" upright="1"/>
                  </wps:wsp>
                </a:graphicData>
              </a:graphic>
            </wp:anchor>
          </w:drawing>
        </mc:Choice>
        <mc:Fallback>
          <w:pict>
            <v:shape id="文本框 1" o:spid="_x0000_s1026" o:spt="202" type="#_x0000_t202" style="position:absolute;left:0pt;margin-left:453.55pt;margin-top:71.05pt;height:13.6pt;width:86.1pt;mso-position-horizontal-relative:page;mso-position-vertical-relative:page;z-index:-251657216;mso-width-relative:page;mso-height-relative:page;" filled="f" stroked="f" coordsize="21600,21600" o:gfxdata="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iFECm2AAAAAwBAAAPAAAAAAAAAAEAIAAAACIAAABkcnMvZG93bnJldi54bWxQSwEC&#10;FAAUAAAACACHTuJAVTxcOLsBAAByAwAADgAAAAAAAAABACAAAAAnAQAAZHJzL2Uyb0RvYy54bWxQ&#10;SwUGAAAAAAYABgBZAQAAVAUAAAAA&#10;">
              <v:fill on="f" focussize="0,0"/>
              <v:stroke on="f"/>
              <v:imagedata o:title=""/>
              <o:lock v:ext="edit" aspectratio="f"/>
              <v:textbox inset="0mm,0mm,0mm,0mm">
                <w:txbxContent>
                  <w:p>
                    <w:pPr>
                      <w:pStyle w:val="4"/>
                      <w:spacing w:line="240" w:lineRule="auto"/>
                      <w:ind w:left="0"/>
                    </w:pPr>
                    <w:r>
                      <w:t xml:space="preserve">DB32/T </w:t>
                    </w:r>
                    <w:r>
                      <w:rPr>
                        <w:rFonts w:hint="eastAsia"/>
                        <w:lang w:eastAsia="zh-CN"/>
                      </w:rPr>
                      <w:t>393</w:t>
                    </w:r>
                    <w:r>
                      <w:rPr>
                        <w:rFonts w:ascii="Times New Roman" w:hAnsi="Times New Roman"/>
                      </w:rPr>
                      <w:t>—</w:t>
                    </w:r>
                    <w:r>
                      <w:rPr>
                        <w:rFonts w:hint="eastAsia"/>
                      </w:rPr>
                      <w:t>20XX</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18"/>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NiZGUyMzVjNGI3MGIzMmE1YzZiODlmZjQ4OWQzNzUifQ=="/>
    <w:docVar w:name="KSO_WPS_MARK_KEY" w:val="373e135a-4390-4b2d-91d3-2d0a36cebc52"/>
  </w:docVars>
  <w:rsids>
    <w:rsidRoot w:val="00A206CF"/>
    <w:rsid w:val="001273E1"/>
    <w:rsid w:val="001E210C"/>
    <w:rsid w:val="002015CE"/>
    <w:rsid w:val="00241AF6"/>
    <w:rsid w:val="0029256C"/>
    <w:rsid w:val="002B77C4"/>
    <w:rsid w:val="00317E0C"/>
    <w:rsid w:val="00345B30"/>
    <w:rsid w:val="004C5DF4"/>
    <w:rsid w:val="004D2803"/>
    <w:rsid w:val="004F32AE"/>
    <w:rsid w:val="00590255"/>
    <w:rsid w:val="00592559"/>
    <w:rsid w:val="005E37AA"/>
    <w:rsid w:val="006723F3"/>
    <w:rsid w:val="0088083D"/>
    <w:rsid w:val="008F24CE"/>
    <w:rsid w:val="009061D5"/>
    <w:rsid w:val="009B1985"/>
    <w:rsid w:val="00A206CF"/>
    <w:rsid w:val="00AF4983"/>
    <w:rsid w:val="00B245E5"/>
    <w:rsid w:val="00B4008E"/>
    <w:rsid w:val="00BD2ED0"/>
    <w:rsid w:val="00CC2F3B"/>
    <w:rsid w:val="00D04973"/>
    <w:rsid w:val="00D545DE"/>
    <w:rsid w:val="00D876F9"/>
    <w:rsid w:val="00EC6F18"/>
    <w:rsid w:val="00F32F5A"/>
    <w:rsid w:val="00FB1124"/>
    <w:rsid w:val="00FE6F32"/>
    <w:rsid w:val="07EE1172"/>
    <w:rsid w:val="099709FD"/>
    <w:rsid w:val="0C0A47D9"/>
    <w:rsid w:val="0E0A11C5"/>
    <w:rsid w:val="0E891A24"/>
    <w:rsid w:val="0F2A06CC"/>
    <w:rsid w:val="115D2CF1"/>
    <w:rsid w:val="1D237EEB"/>
    <w:rsid w:val="1F473199"/>
    <w:rsid w:val="26C0265C"/>
    <w:rsid w:val="28FF7B4E"/>
    <w:rsid w:val="29E07850"/>
    <w:rsid w:val="31A54652"/>
    <w:rsid w:val="37310D60"/>
    <w:rsid w:val="3E024772"/>
    <w:rsid w:val="435D330B"/>
    <w:rsid w:val="484F4BA1"/>
    <w:rsid w:val="49844A38"/>
    <w:rsid w:val="50C0474A"/>
    <w:rsid w:val="510A2BA7"/>
    <w:rsid w:val="519177C2"/>
    <w:rsid w:val="540931FC"/>
    <w:rsid w:val="56BA4681"/>
    <w:rsid w:val="56FC16F6"/>
    <w:rsid w:val="58461B92"/>
    <w:rsid w:val="5C143023"/>
    <w:rsid w:val="5F3A5ADE"/>
    <w:rsid w:val="5F561924"/>
    <w:rsid w:val="628A5C71"/>
    <w:rsid w:val="66540B05"/>
    <w:rsid w:val="69485905"/>
    <w:rsid w:val="6EFB10F1"/>
    <w:rsid w:val="73BA1B3B"/>
    <w:rsid w:val="76A4115C"/>
    <w:rsid w:val="7A3262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autoRedefine/>
    <w:qFormat/>
    <w:uiPriority w:val="1"/>
    <w:pPr>
      <w:spacing w:before="54"/>
      <w:ind w:right="354"/>
      <w:jc w:val="center"/>
      <w:outlineLvl w:val="0"/>
    </w:pPr>
    <w:rPr>
      <w:rFonts w:ascii="黑体" w:hAnsi="黑体" w:eastAsia="黑体" w:cs="黑体"/>
      <w:sz w:val="32"/>
      <w:szCs w:val="32"/>
    </w:rPr>
  </w:style>
  <w:style w:type="paragraph" w:styleId="3">
    <w:name w:val="heading 2"/>
    <w:basedOn w:val="1"/>
    <w:next w:val="1"/>
    <w:autoRedefine/>
    <w:qFormat/>
    <w:uiPriority w:val="1"/>
    <w:pPr>
      <w:outlineLvl w:val="1"/>
    </w:pPr>
    <w:rPr>
      <w:rFonts w:ascii="黑体" w:hAnsi="黑体" w:eastAsia="黑体" w:cs="黑体"/>
      <w:sz w:val="28"/>
      <w:szCs w:val="28"/>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autoRedefine/>
    <w:qFormat/>
    <w:uiPriority w:val="1"/>
    <w:pPr>
      <w:spacing w:before="3"/>
      <w:ind w:firstLine="420" w:firstLineChars="200"/>
      <w:pPrChange w:id="0" w:author="YANG JIRU" w:date="2024-01-12T16:46:00Z">
        <w:pPr>
          <w:widowControl w:val="0"/>
          <w:autoSpaceDE w:val="0"/>
          <w:autoSpaceDN w:val="0"/>
        </w:pPr>
      </w:pPrChange>
    </w:pPr>
    <w:rPr>
      <w:sz w:val="21"/>
      <w:szCs w:val="21"/>
      <w:rPrChange w:id="1" w:author="YANG JIRU" w:date="2024-01-12T16:46:00Z">
        <w:rPr>
          <w:rFonts w:ascii="宋体" w:hAnsi="宋体" w:eastAsia="宋体" w:cs="宋体"/>
          <w:sz w:val="21"/>
          <w:szCs w:val="21"/>
          <w:lang w:val="zh-CN" w:eastAsia="zh-CN" w:bidi="zh-CN"/>
        </w:rPr>
      </w:rPrChange>
    </w:rPr>
  </w:style>
  <w:style w:type="paragraph" w:styleId="5">
    <w:name w:val="Balloon Text"/>
    <w:basedOn w:val="1"/>
    <w:link w:val="22"/>
    <w:autoRedefine/>
    <w:qFormat/>
    <w:uiPriority w:val="0"/>
    <w:rPr>
      <w:sz w:val="18"/>
      <w:szCs w:val="18"/>
    </w:rPr>
  </w:style>
  <w:style w:type="paragraph" w:styleId="6">
    <w:name w:val="footer"/>
    <w:basedOn w:val="1"/>
    <w:autoRedefine/>
    <w:qFormat/>
    <w:uiPriority w:val="0"/>
    <w:pPr>
      <w:tabs>
        <w:tab w:val="center" w:pos="4153"/>
        <w:tab w:val="right" w:pos="8306"/>
      </w:tabs>
      <w:snapToGrid w:val="0"/>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8">
    <w:name w:val="toc 1"/>
    <w:basedOn w:val="1"/>
    <w:next w:val="1"/>
    <w:autoRedefine/>
    <w:qFormat/>
    <w:uiPriority w:val="0"/>
  </w:style>
  <w:style w:type="table" w:styleId="10">
    <w:name w:val="Table Grid"/>
    <w:basedOn w:val="9"/>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
    <w:name w:val="Table Normal"/>
    <w:autoRedefine/>
    <w:semiHidden/>
    <w:unhideWhenUsed/>
    <w:qFormat/>
    <w:uiPriority w:val="2"/>
    <w:tblPr>
      <w:tblCellMar>
        <w:top w:w="0" w:type="dxa"/>
        <w:left w:w="0" w:type="dxa"/>
        <w:bottom w:w="0" w:type="dxa"/>
        <w:right w:w="0" w:type="dxa"/>
      </w:tblCellMar>
    </w:tblPr>
  </w:style>
  <w:style w:type="paragraph" w:styleId="13">
    <w:name w:val="List Paragraph"/>
    <w:basedOn w:val="1"/>
    <w:autoRedefine/>
    <w:qFormat/>
    <w:uiPriority w:val="1"/>
    <w:pPr>
      <w:ind w:left="644" w:hanging="735"/>
    </w:pPr>
  </w:style>
  <w:style w:type="paragraph" w:customStyle="1" w:styleId="14">
    <w:name w:val="Table Paragraph"/>
    <w:basedOn w:val="1"/>
    <w:autoRedefine/>
    <w:qFormat/>
    <w:uiPriority w:val="1"/>
    <w:pPr>
      <w:spacing w:before="40"/>
      <w:ind w:left="135" w:right="108"/>
      <w:jc w:val="center"/>
    </w:pPr>
  </w:style>
  <w:style w:type="paragraph" w:customStyle="1" w:styleId="15">
    <w:name w:val="前言、引言标题"/>
    <w:next w:val="16"/>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6">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7">
    <w:name w:val="目次、标准名称标题"/>
    <w:basedOn w:val="1"/>
    <w:next w:val="16"/>
    <w:autoRedefine/>
    <w:qFormat/>
    <w:uiPriority w:val="0"/>
    <w:pPr>
      <w:keepNext/>
      <w:pageBreakBefore/>
      <w:widowControl/>
      <w:shd w:val="clear" w:color="FFFFFF" w:fill="FFFFFF"/>
      <w:spacing w:before="640" w:after="560" w:line="460" w:lineRule="exact"/>
      <w:jc w:val="center"/>
      <w:outlineLvl w:val="0"/>
    </w:pPr>
    <w:rPr>
      <w:rFonts w:ascii="黑体" w:eastAsia="黑体"/>
      <w:sz w:val="32"/>
      <w:szCs w:val="20"/>
    </w:rPr>
  </w:style>
  <w:style w:type="paragraph" w:customStyle="1" w:styleId="18">
    <w:name w:val="章标题"/>
    <w:next w:val="16"/>
    <w:autoRedefine/>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19">
    <w:name w:val="终结线"/>
    <w:basedOn w:val="1"/>
    <w:autoRedefine/>
    <w:qFormat/>
    <w:uiPriority w:val="0"/>
    <w:pPr>
      <w:framePr w:hSpace="181" w:vSpace="181" w:wrap="around" w:vAnchor="text" w:hAnchor="margin" w:xAlign="center" w:y="285"/>
    </w:pPr>
  </w:style>
  <w:style w:type="paragraph" w:customStyle="1" w:styleId="20">
    <w:name w:val="标准书眉_奇数页"/>
    <w:next w:val="1"/>
    <w:autoRedefine/>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1">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character" w:customStyle="1" w:styleId="22">
    <w:name w:val="批注框文本 字符"/>
    <w:basedOn w:val="11"/>
    <w:link w:val="5"/>
    <w:autoRedefine/>
    <w:qFormat/>
    <w:uiPriority w:val="0"/>
    <w:rPr>
      <w:rFonts w:ascii="宋体" w:hAnsi="宋体" w:eastAsia="宋体" w:cs="宋体"/>
      <w:sz w:val="18"/>
      <w:szCs w:val="18"/>
      <w:lang w:val="zh-CN" w:bidi="zh-CN"/>
    </w:rPr>
  </w:style>
  <w:style w:type="paragraph" w:customStyle="1" w:styleId="23">
    <w:name w:val="WPSOffice手动目录 1"/>
    <w:autoRedefine/>
    <w:qFormat/>
    <w:uiPriority w:val="0"/>
    <w:rPr>
      <w:rFonts w:asciiTheme="minorHAnsi" w:hAnsiTheme="minorHAnsi" w:eastAsiaTheme="minorEastAsia" w:cstheme="minorBidi"/>
      <w:lang w:val="en-US" w:eastAsia="zh-CN" w:bidi="ar-SA"/>
    </w:rPr>
  </w:style>
  <w:style w:type="paragraph" w:customStyle="1" w:styleId="24">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25">
    <w:name w:val="标准文件_文件名称"/>
    <w:basedOn w:val="26"/>
    <w:next w:val="26"/>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6">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28">
    <w:name w:val="其他发布日期"/>
    <w:basedOn w:val="29"/>
    <w:autoRedefine/>
    <w:qFormat/>
    <w:uiPriority w:val="0"/>
    <w:pPr>
      <w:framePr w:w="3997" w:h="471" w:hRule="exact" w:hSpace="0" w:vSpace="181" w:wrap="around" w:vAnchor="page" w:hAnchor="page" w:x="1419" w:y="14097"/>
    </w:pPr>
  </w:style>
  <w:style w:type="paragraph" w:customStyle="1" w:styleId="29">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30">
    <w:name w:val="其他实施日期"/>
    <w:basedOn w:val="31"/>
    <w:autoRedefine/>
    <w:qFormat/>
    <w:uiPriority w:val="0"/>
    <w:pPr>
      <w:framePr w:w="3997" w:h="471" w:hRule="exact" w:vSpace="181" w:wrap="around" w:vAnchor="page" w:hAnchor="page" w:x="7089" w:y="14097"/>
    </w:pPr>
  </w:style>
  <w:style w:type="paragraph" w:customStyle="1" w:styleId="31">
    <w:name w:val="实施日期"/>
    <w:basedOn w:val="29"/>
    <w:autoRedefine/>
    <w:qFormat/>
    <w:uiPriority w:val="0"/>
    <w:pPr>
      <w:framePr w:hSpace="0" w:wrap="around" w:xAlign="right"/>
      <w:jc w:val="right"/>
    </w:pPr>
  </w:style>
  <w:style w:type="paragraph" w:customStyle="1" w:styleId="32">
    <w:name w:val="其他发布部门"/>
    <w:basedOn w:val="33"/>
    <w:autoRedefine/>
    <w:qFormat/>
    <w:uiPriority w:val="0"/>
    <w:pPr>
      <w:framePr w:wrap="around"/>
      <w:spacing w:line="0" w:lineRule="atLeast"/>
    </w:pPr>
    <w:rPr>
      <w:rFonts w:ascii="黑体" w:eastAsia="黑体"/>
      <w:b w:val="0"/>
    </w:rPr>
  </w:style>
  <w:style w:type="paragraph" w:customStyle="1" w:styleId="33">
    <w:name w:val="发布部门"/>
    <w:next w:val="2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character" w:customStyle="1" w:styleId="34">
    <w:name w:val="发布"/>
    <w:basedOn w:val="11"/>
    <w:autoRedefine/>
    <w:qFormat/>
    <w:uiPriority w:val="0"/>
    <w:rPr>
      <w:rFonts w:ascii="黑体" w:eastAsia="黑体"/>
      <w:spacing w:val="85"/>
      <w:w w:val="100"/>
      <w:position w:val="3"/>
      <w:sz w:val="28"/>
      <w:szCs w:val="28"/>
    </w:rPr>
  </w:style>
  <w:style w:type="paragraph" w:customStyle="1" w:styleId="35">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36">
    <w:name w:val="标准文件_文件编号"/>
    <w:basedOn w:val="26"/>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37">
    <w:name w:val="标准文件_替换文件编号"/>
    <w:basedOn w:val="36"/>
    <w:autoRedefine/>
    <w:qFormat/>
    <w:uiPriority w:val="0"/>
    <w:pPr>
      <w:spacing w:before="57"/>
    </w:pPr>
    <w:rPr>
      <w:sz w:val="21"/>
    </w:rPr>
  </w:style>
  <w:style w:type="paragraph" w:customStyle="1" w:styleId="38">
    <w:name w:val="标准文件_目录标题"/>
    <w:basedOn w:val="1"/>
    <w:autoRedefine/>
    <w:qFormat/>
    <w:uiPriority w:val="0"/>
    <w:pPr>
      <w:autoSpaceDE/>
      <w:autoSpaceDN/>
      <w:adjustRightInd w:val="0"/>
      <w:spacing w:before="480" w:after="150" w:afterLines="150"/>
      <w:jc w:val="center"/>
    </w:pPr>
    <w:rPr>
      <w:rFonts w:ascii="黑体" w:hAnsi="Calibri" w:eastAsia="黑体" w:cs="Times New Roman"/>
      <w:kern w:val="2"/>
      <w:sz w:val="32"/>
      <w:szCs w:val="21"/>
      <w:lang w:val="en-US" w:bidi="ar-SA"/>
    </w:rPr>
  </w:style>
  <w:style w:type="paragraph" w:customStyle="1" w:styleId="39">
    <w:name w:val="Table Text"/>
    <w:basedOn w:val="1"/>
    <w:autoRedefine/>
    <w:semiHidden/>
    <w:qFormat/>
    <w:uiPriority w:val="0"/>
    <w:rPr>
      <w:rFonts w:ascii="宋体" w:hAnsi="宋体" w:eastAsia="宋体" w:cs="宋体"/>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2.jpeg"/><Relationship Id="rId11" Type="http://schemas.openxmlformats.org/officeDocument/2006/relationships/image" Target="media/image1.tiff"/><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9</Pages>
  <Words>3200</Words>
  <Characters>4000</Characters>
  <Lines>666</Lines>
  <Paragraphs>599</Paragraphs>
  <TotalTime>7</TotalTime>
  <ScaleCrop>false</ScaleCrop>
  <LinksUpToDate>false</LinksUpToDate>
  <CharactersWithSpaces>6601</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2022-01-12T05:46:00Z</dcterms:created>
  <dc:creator>CNIS</dc:creator>
  <cp:lastModifiedBy>槿花凉夏</cp:lastModifiedBy>
  <cp:lastPrinted>2024-03-19T02:44:00Z</cp:lastPrinted>
  <dcterms:modified xsi:type="dcterms:W3CDTF">2024-06-03T08:54:38Z</dcterms:modified>
  <dc:title>标准名称</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2022-01-12T00:00:00Z</vt:filetime>
  </property>
  <property fmtid="{D5CDD505-2E9C-101B-9397-08002B2CF9AE}" pid="3" name="Creator">
    <vt:lpwstr>WPS 文字</vt:lpwstr>
  </property>
  <property fmtid="{D5CDD505-2E9C-101B-9397-08002B2CF9AE}" pid="4" name="LastSaved">
    <vt:filetime>2022-01-12T00:00:00Z</vt:filetime>
  </property>
  <property fmtid="{D5CDD505-2E9C-101B-9397-08002B2CF9AE}" pid="5" name="KSOProductBuildVer">
    <vt:lpwstr>2052-12.1.0.16250</vt:lpwstr>
  </property>
  <property fmtid="{D5CDD505-2E9C-101B-9397-08002B2CF9AE}" pid="6" name="ICV">
    <vt:lpwstr>77A09BA198584C01BC9A265ED1672340_13</vt:lpwstr>
  </property>
</Properties>
</file>